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jpeg" ContentType="image/jpeg"/>
  <Default Extension="JPG" ContentType="image/.jpg"/>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127F97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EA9E279">
            <w:pPr>
              <w:pStyle w:val="19"/>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2A8409E0">
            <w:pPr>
              <w:pStyle w:val="19"/>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hint="eastAsia" w:ascii="黑体" w:hAnsi="黑体" w:eastAsia="黑体"/>
                <w:sz w:val="21"/>
                <w:szCs w:val="21"/>
              </w:rPr>
              <w:t>29.140.40</w:t>
            </w:r>
          </w:p>
        </w:tc>
      </w:tr>
      <w:tr w14:paraId="512898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2C9E10AE">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9"/>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51D89637">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3CE81BEA">
                  <w:pPr>
                    <w:pStyle w:val="52"/>
                    <w:framePr w:wrap="notBeside" w:vAnchor="page" w:hAnchor="page" w:x="1372" w:y="568"/>
                    <w:ind w:left="420" w:right="624"/>
                    <w:rPr>
                      <w:rFonts w:hint="eastAsia" w:ascii="宋体" w:hAnsi="宋体"/>
                      <w:sz w:val="28"/>
                      <w:szCs w:val="28"/>
                    </w:rPr>
                  </w:pPr>
                </w:p>
              </w:tc>
            </w:tr>
          </w:tbl>
          <w:p w14:paraId="4F37794B">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hint="eastAsia" w:ascii="黑体" w:hAnsi="黑体" w:eastAsia="黑体"/>
                <w:sz w:val="21"/>
                <w:szCs w:val="21"/>
              </w:rPr>
              <w:t>K 72</w:t>
            </w:r>
          </w:p>
        </w:tc>
      </w:tr>
    </w:tbl>
    <w:p w14:paraId="12F6549B">
      <w:pPr>
        <w:pStyle w:val="53"/>
        <w:framePr w:w="9639" w:h="624" w:hRule="exact" w:hSpace="181" w:vSpace="181" w:wrap="around" w:hAnchor="page" w:x="1305" w:y="2269"/>
        <w:rPr>
          <w:rFonts w:hint="eastAsia" w:ascii="黑体" w:hAnsi="黑体" w:eastAsia="黑体"/>
          <w:b w:val="0"/>
          <w:bCs w:val="0"/>
          <w:w w:val="100"/>
          <w:sz w:val="48"/>
          <w:szCs w:val="48"/>
        </w:rPr>
      </w:pPr>
      <w:bookmarkStart w:id="0" w:name="_Hlk26473981"/>
      <w:r>
        <w:rPr>
          <w:rFonts w:hint="eastAsia" w:ascii="黑体" w:eastAsia="黑体"/>
          <w:b w:val="0"/>
          <w:w w:val="100"/>
          <w:sz w:val="48"/>
        </w:rPr>
        <w:t>广东</w:t>
      </w:r>
      <w:r>
        <w:rPr>
          <w:rFonts w:ascii="黑体" w:eastAsia="黑体"/>
          <w:b w:val="0"/>
          <w:w w:val="100"/>
          <w:sz w:val="48"/>
        </w:rPr>
        <w:t>省</w:t>
      </w:r>
      <w:r>
        <w:rPr>
          <w:rFonts w:hint="eastAsia" w:ascii="黑体" w:hAnsi="黑体" w:eastAsia="黑体"/>
          <w:b w:val="0"/>
          <w:bCs w:val="0"/>
          <w:w w:val="100"/>
          <w:sz w:val="48"/>
          <w:szCs w:val="48"/>
        </w:rPr>
        <w:t>照明学会</w:t>
      </w:r>
      <w:r>
        <w:rPr>
          <w:rFonts w:hint="eastAsia" w:ascii="黑体" w:eastAsia="黑体"/>
          <w:b w:val="0"/>
          <w:w w:val="100"/>
          <w:sz w:val="48"/>
        </w:rPr>
        <w:t>团体</w:t>
      </w:r>
      <w:r>
        <w:rPr>
          <w:rFonts w:hint="eastAsia" w:ascii="黑体" w:hAnsi="黑体" w:eastAsia="黑体"/>
          <w:b w:val="0"/>
          <w:bCs w:val="0"/>
          <w:w w:val="100"/>
          <w:sz w:val="48"/>
          <w:szCs w:val="48"/>
        </w:rPr>
        <w:t>标准</w:t>
      </w:r>
    </w:p>
    <w:bookmarkEnd w:id="0"/>
    <w:p w14:paraId="4ACD25D2">
      <w:pPr>
        <w:pStyle w:val="198"/>
      </w:pPr>
      <w:r>
        <w:rPr>
          <w:rFonts w:hint="eastAsia"/>
        </w:rPr>
        <w:t>T/GIES</w:t>
      </w:r>
      <w:r>
        <w:rPr>
          <w:lang w:val="fr-FR"/>
        </w:rPr>
        <w:t xml:space="preserve"> </w:t>
      </w:r>
      <w:r>
        <w:rPr>
          <w:rFonts w:hint="eastAsia"/>
        </w:rPr>
        <w:t xml:space="preserve">022—2024 </w:t>
      </w:r>
    </w:p>
    <w:p w14:paraId="3F8D1867">
      <w:pPr>
        <w:pStyle w:val="199"/>
        <w:rPr>
          <w:rFonts w:hint="eastAsia" w:hAnsi="黑体"/>
        </w:rPr>
      </w:pPr>
    </w:p>
    <w:p w14:paraId="084F11D0">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705D2681">
      <w:pPr>
        <w:pStyle w:val="53"/>
        <w:framePr w:w="9639" w:h="6976" w:hRule="exact" w:hSpace="0" w:vSpace="0" w:wrap="around" w:hAnchor="page" w:y="6408"/>
        <w:jc w:val="center"/>
        <w:rPr>
          <w:rFonts w:hint="eastAsia" w:ascii="黑体" w:hAnsi="黑体" w:eastAsia="黑体"/>
          <w:b w:val="0"/>
          <w:bCs w:val="0"/>
          <w:w w:val="100"/>
        </w:rPr>
      </w:pPr>
    </w:p>
    <w:p w14:paraId="2B9CA39B">
      <w:pPr>
        <w:pStyle w:val="200"/>
        <w:framePr w:h="6974" w:hRule="exact" w:wrap="around" w:x="1437" w:anchorLock="1"/>
        <w:rPr>
          <w:rFonts w:hint="eastAsia"/>
        </w:rPr>
      </w:pPr>
      <w:r>
        <w:rPr>
          <w:rFonts w:hint="eastAsia"/>
        </w:rPr>
        <w:t>中小学校教室照明技术规范</w:t>
      </w:r>
    </w:p>
    <w:p w14:paraId="5EE9643A">
      <w:pPr>
        <w:framePr w:w="9639" w:h="6974" w:hRule="exact" w:wrap="around" w:vAnchor="page" w:hAnchor="page" w:x="1437" w:y="6408" w:anchorLock="1"/>
        <w:ind w:left="-1418"/>
      </w:pPr>
    </w:p>
    <w:p w14:paraId="4966A8E3">
      <w:pPr>
        <w:pStyle w:val="128"/>
        <w:framePr w:w="9639" w:h="6974" w:hRule="exact" w:wrap="around" w:vAnchor="page" w:hAnchor="page" w:x="1437" w:y="6408" w:anchorLock="1"/>
        <w:textAlignment w:val="bottom"/>
        <w:rPr>
          <w:rFonts w:eastAsia="黑体"/>
          <w:szCs w:val="28"/>
        </w:rPr>
      </w:pPr>
      <w:r>
        <w:rPr>
          <w:rFonts w:hint="eastAsia" w:eastAsia="黑体"/>
          <w:szCs w:val="28"/>
        </w:rPr>
        <w:t>Technical specification for classroom lighting in primary and secondary school</w:t>
      </w:r>
    </w:p>
    <w:p w14:paraId="2784757B">
      <w:pPr>
        <w:framePr w:w="9639" w:h="6974" w:hRule="exact" w:wrap="around" w:vAnchor="page" w:hAnchor="page" w:x="1437" w:y="6408" w:anchorLock="1"/>
        <w:spacing w:line="760" w:lineRule="exact"/>
        <w:ind w:left="-1418"/>
      </w:pPr>
    </w:p>
    <w:p w14:paraId="31ADF6D7">
      <w:pPr>
        <w:pStyle w:val="128"/>
        <w:framePr w:w="9639" w:h="6974" w:hRule="exact" w:wrap="around" w:vAnchor="page" w:hAnchor="page" w:x="1437" w:y="6408" w:anchorLock="1"/>
        <w:textAlignment w:val="bottom"/>
        <w:rPr>
          <w:rFonts w:eastAsia="黑体"/>
          <w:szCs w:val="28"/>
        </w:rPr>
      </w:pPr>
    </w:p>
    <w:p w14:paraId="40A68CFF">
      <w:pPr>
        <w:pStyle w:val="128"/>
        <w:framePr w:w="9639" w:h="6974" w:hRule="exact" w:wrap="around" w:vAnchor="page" w:hAnchor="page" w:x="1437" w:y="6408" w:anchorLock="1"/>
        <w:spacing w:before="440" w:after="160"/>
        <w:textAlignment w:val="bottom"/>
        <w:rPr>
          <w:sz w:val="24"/>
          <w:szCs w:val="28"/>
        </w:rPr>
      </w:pPr>
    </w:p>
    <w:p w14:paraId="72640724">
      <w:pPr>
        <w:pStyle w:val="196"/>
        <w:framePr w:wrap="around" w:y="14176"/>
      </w:pPr>
      <w:r>
        <w:rPr>
          <w:rFonts w:hint="eastAsia" w:ascii="黑体"/>
        </w:rPr>
        <w:t>2024-08-26发布</w:t>
      </w:r>
    </w:p>
    <w:p w14:paraId="59525DA5">
      <w:pPr>
        <w:pStyle w:val="197"/>
        <w:framePr w:wrap="around" w:y="14176"/>
      </w:pPr>
      <w:r>
        <w:rPr>
          <w:rFonts w:hint="eastAsia" w:ascii="黑体"/>
        </w:rPr>
        <w:t>2024-08-30</w:t>
      </w:r>
      <w:r>
        <w:rPr>
          <w:rFonts w:hint="eastAsia"/>
        </w:rPr>
        <w:t>实施</w:t>
      </w:r>
    </w:p>
    <w:p w14:paraId="640B0BE1">
      <w:pPr>
        <w:pStyle w:val="154"/>
        <w:framePr w:h="584" w:hRule="exact" w:hSpace="181" w:vSpace="181" w:wrap="around" w:y="14800"/>
        <w:rPr>
          <w:rFonts w:hint="eastAsia" w:hAnsi="黑体"/>
        </w:rPr>
      </w:pPr>
      <w:r>
        <w:rPr>
          <w:rFonts w:hint="eastAsia" w:hAnsi="黑体"/>
          <w:w w:val="100"/>
          <w:sz w:val="28"/>
        </w:rPr>
        <w:t>广东省照明学会</w:t>
      </w:r>
      <w:r>
        <w:rPr>
          <w:rFonts w:ascii="Times New Roman"/>
          <w:w w:val="100"/>
          <w:sz w:val="28"/>
        </w:rPr>
        <w:t>  </w:t>
      </w:r>
      <w:r>
        <w:rPr>
          <w:rStyle w:val="232"/>
          <w:rFonts w:hint="eastAsia" w:hAnsi="黑体"/>
          <w:position w:val="0"/>
        </w:rPr>
        <w:t>发</w:t>
      </w:r>
      <w:r>
        <w:rPr>
          <w:rStyle w:val="232"/>
          <w:rFonts w:hint="eastAsia" w:hAnsi="黑体"/>
          <w:spacing w:val="0"/>
          <w:position w:val="0"/>
        </w:rPr>
        <w:t>布</w:t>
      </w:r>
    </w:p>
    <w:p w14:paraId="26070A22">
      <w:pPr>
        <w:rPr>
          <w:rFonts w:hint="eastAsia" w:ascii="宋体" w:hAnsi="宋体"/>
          <w:sz w:val="28"/>
          <w:szCs w:val="28"/>
        </w:rPr>
        <w:sectPr>
          <w:headerReference r:id="rId6" w:type="first"/>
          <w:footerReference r:id="rId8" w:type="first"/>
          <w:headerReference r:id="rId5" w:type="default"/>
          <w:footerReference r:id="rId7"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74595926">
      <w:pPr>
        <w:pStyle w:val="94"/>
        <w:spacing w:after="360"/>
      </w:pPr>
      <w:bookmarkStart w:id="1" w:name="BookMark1"/>
      <w:r>
        <w:rPr>
          <w:rFonts w:hint="eastAsia"/>
          <w:spacing w:val="320"/>
        </w:rPr>
        <w:t>目</w:t>
      </w:r>
      <w:r>
        <w:rPr>
          <w:rFonts w:hint="eastAsia"/>
        </w:rPr>
        <w:t>次</w:t>
      </w:r>
    </w:p>
    <w:p w14:paraId="78BC2FD5">
      <w:pPr>
        <w:pStyle w:val="20"/>
        <w:tabs>
          <w:tab w:val="right" w:leader="dot" w:pos="9344"/>
        </w:tabs>
        <w:spacing w:line="252" w:lineRule="auto"/>
      </w:pPr>
      <w:r>
        <w:fldChar w:fldCharType="begin"/>
      </w:r>
      <w:r>
        <w:instrText xml:space="preserve"> TOC \o "1-1" \h \t "标准文件_一级条标题,2,标准文件_附录一级条标题,2," </w:instrText>
      </w:r>
      <w:r>
        <w:fldChar w:fldCharType="separate"/>
      </w:r>
      <w:r>
        <w:fldChar w:fldCharType="begin"/>
      </w:r>
      <w:r>
        <w:instrText xml:space="preserve"> HYPERLINK \l "_Toc19249" </w:instrText>
      </w:r>
      <w:r>
        <w:fldChar w:fldCharType="separate"/>
      </w:r>
      <w:r>
        <w:t>前言</w:t>
      </w:r>
      <w:r>
        <w:tab/>
      </w:r>
      <w:r>
        <w:fldChar w:fldCharType="begin"/>
      </w:r>
      <w:r>
        <w:instrText xml:space="preserve"> PAGEREF _Toc19249 \h </w:instrText>
      </w:r>
      <w:r>
        <w:fldChar w:fldCharType="separate"/>
      </w:r>
      <w:r>
        <w:t>II</w:t>
      </w:r>
      <w:r>
        <w:fldChar w:fldCharType="end"/>
      </w:r>
      <w:r>
        <w:fldChar w:fldCharType="end"/>
      </w:r>
    </w:p>
    <w:p w14:paraId="19357F4C">
      <w:pPr>
        <w:pStyle w:val="20"/>
        <w:tabs>
          <w:tab w:val="right" w:leader="dot" w:pos="9344"/>
        </w:tabs>
        <w:spacing w:line="252" w:lineRule="auto"/>
      </w:pPr>
      <w:r>
        <w:fldChar w:fldCharType="begin"/>
      </w:r>
      <w:r>
        <w:instrText xml:space="preserve"> HYPERLINK \l "_Toc3739" </w:instrText>
      </w:r>
      <w:r>
        <w:fldChar w:fldCharType="separate"/>
      </w:r>
      <w:r>
        <w:rPr>
          <w:rFonts w:hint="eastAsia"/>
        </w:rPr>
        <w:t>1 范围</w:t>
      </w:r>
      <w:r>
        <w:tab/>
      </w:r>
      <w:r>
        <w:fldChar w:fldCharType="begin"/>
      </w:r>
      <w:r>
        <w:instrText xml:space="preserve"> PAGEREF _Toc3739 \h </w:instrText>
      </w:r>
      <w:r>
        <w:fldChar w:fldCharType="separate"/>
      </w:r>
      <w:r>
        <w:t>1</w:t>
      </w:r>
      <w:r>
        <w:fldChar w:fldCharType="end"/>
      </w:r>
      <w:r>
        <w:fldChar w:fldCharType="end"/>
      </w:r>
    </w:p>
    <w:p w14:paraId="4CDDE430">
      <w:pPr>
        <w:pStyle w:val="20"/>
        <w:tabs>
          <w:tab w:val="right" w:leader="dot" w:pos="9344"/>
        </w:tabs>
        <w:spacing w:line="252" w:lineRule="auto"/>
      </w:pPr>
      <w:r>
        <w:fldChar w:fldCharType="begin"/>
      </w:r>
      <w:r>
        <w:instrText xml:space="preserve"> HYPERLINK \l "_Toc9726" </w:instrText>
      </w:r>
      <w:r>
        <w:fldChar w:fldCharType="separate"/>
      </w:r>
      <w:r>
        <w:rPr>
          <w:rFonts w:hint="eastAsia"/>
        </w:rPr>
        <w:t>2 规范性引用文件</w:t>
      </w:r>
      <w:r>
        <w:tab/>
      </w:r>
      <w:r>
        <w:fldChar w:fldCharType="begin"/>
      </w:r>
      <w:r>
        <w:instrText xml:space="preserve"> PAGEREF _Toc9726 \h </w:instrText>
      </w:r>
      <w:r>
        <w:fldChar w:fldCharType="separate"/>
      </w:r>
      <w:r>
        <w:t>1</w:t>
      </w:r>
      <w:r>
        <w:fldChar w:fldCharType="end"/>
      </w:r>
      <w:r>
        <w:fldChar w:fldCharType="end"/>
      </w:r>
    </w:p>
    <w:p w14:paraId="426E636B">
      <w:pPr>
        <w:pStyle w:val="20"/>
        <w:tabs>
          <w:tab w:val="right" w:leader="dot" w:pos="9344"/>
        </w:tabs>
        <w:spacing w:line="252" w:lineRule="auto"/>
      </w:pPr>
      <w:r>
        <w:fldChar w:fldCharType="begin"/>
      </w:r>
      <w:r>
        <w:instrText xml:space="preserve"> HYPERLINK \l "_Toc22495" </w:instrText>
      </w:r>
      <w:r>
        <w:fldChar w:fldCharType="separate"/>
      </w:r>
      <w:r>
        <w:rPr>
          <w:rFonts w:hint="eastAsia"/>
        </w:rPr>
        <w:t>3 术语和定义</w:t>
      </w:r>
      <w:r>
        <w:tab/>
      </w:r>
      <w:r>
        <w:fldChar w:fldCharType="begin"/>
      </w:r>
      <w:r>
        <w:instrText xml:space="preserve"> PAGEREF _Toc22495 \h </w:instrText>
      </w:r>
      <w:r>
        <w:fldChar w:fldCharType="separate"/>
      </w:r>
      <w:r>
        <w:t>1</w:t>
      </w:r>
      <w:r>
        <w:fldChar w:fldCharType="end"/>
      </w:r>
      <w:r>
        <w:fldChar w:fldCharType="end"/>
      </w:r>
    </w:p>
    <w:p w14:paraId="50E69108">
      <w:pPr>
        <w:pStyle w:val="20"/>
        <w:tabs>
          <w:tab w:val="right" w:leader="dot" w:pos="9344"/>
        </w:tabs>
        <w:spacing w:line="252" w:lineRule="auto"/>
      </w:pPr>
      <w:r>
        <w:fldChar w:fldCharType="begin"/>
      </w:r>
      <w:r>
        <w:instrText xml:space="preserve"> HYPERLINK \l "_Toc12854" </w:instrText>
      </w:r>
      <w:r>
        <w:fldChar w:fldCharType="separate"/>
      </w:r>
      <w:r>
        <w:rPr>
          <w:rFonts w:hint="eastAsia"/>
        </w:rPr>
        <w:t>4 LED灯具技术要求</w:t>
      </w:r>
      <w:r>
        <w:tab/>
      </w:r>
      <w:r>
        <w:fldChar w:fldCharType="begin"/>
      </w:r>
      <w:r>
        <w:instrText xml:space="preserve"> PAGEREF _Toc12854 \h </w:instrText>
      </w:r>
      <w:r>
        <w:fldChar w:fldCharType="separate"/>
      </w:r>
      <w:r>
        <w:t>4</w:t>
      </w:r>
      <w:r>
        <w:fldChar w:fldCharType="end"/>
      </w:r>
      <w:r>
        <w:fldChar w:fldCharType="end"/>
      </w:r>
    </w:p>
    <w:p w14:paraId="4057C749">
      <w:pPr>
        <w:pStyle w:val="20"/>
        <w:tabs>
          <w:tab w:val="right" w:leader="dot" w:pos="9344"/>
        </w:tabs>
        <w:spacing w:line="252" w:lineRule="auto"/>
      </w:pPr>
      <w:r>
        <w:fldChar w:fldCharType="begin"/>
      </w:r>
      <w:r>
        <w:instrText xml:space="preserve"> HYPERLINK \l "_Toc8978" </w:instrText>
      </w:r>
      <w:r>
        <w:fldChar w:fldCharType="separate"/>
      </w:r>
      <w:r>
        <w:rPr>
          <w:rFonts w:hint="eastAsia"/>
        </w:rPr>
        <w:t>5 荧光灯灯具技术要求</w:t>
      </w:r>
      <w:r>
        <w:tab/>
      </w:r>
      <w:r>
        <w:fldChar w:fldCharType="begin"/>
      </w:r>
      <w:r>
        <w:instrText xml:space="preserve"> PAGEREF _Toc8978 \h </w:instrText>
      </w:r>
      <w:r>
        <w:fldChar w:fldCharType="separate"/>
      </w:r>
      <w:r>
        <w:t>5</w:t>
      </w:r>
      <w:r>
        <w:fldChar w:fldCharType="end"/>
      </w:r>
      <w:r>
        <w:fldChar w:fldCharType="end"/>
      </w:r>
    </w:p>
    <w:p w14:paraId="54784C44">
      <w:pPr>
        <w:pStyle w:val="20"/>
        <w:tabs>
          <w:tab w:val="right" w:leader="dot" w:pos="9344"/>
        </w:tabs>
        <w:spacing w:line="252" w:lineRule="auto"/>
      </w:pPr>
      <w:r>
        <w:fldChar w:fldCharType="begin"/>
      </w:r>
      <w:r>
        <w:instrText xml:space="preserve"> HYPERLINK \l "_Toc1963" </w:instrText>
      </w:r>
      <w:r>
        <w:fldChar w:fldCharType="separate"/>
      </w:r>
      <w:r>
        <w:rPr>
          <w:rFonts w:hint="eastAsia"/>
        </w:rPr>
        <w:t>6 教室的照明质量和节能要求</w:t>
      </w:r>
      <w:r>
        <w:tab/>
      </w:r>
      <w:r>
        <w:fldChar w:fldCharType="begin"/>
      </w:r>
      <w:r>
        <w:instrText xml:space="preserve"> PAGEREF _Toc1963 \h </w:instrText>
      </w:r>
      <w:r>
        <w:fldChar w:fldCharType="separate"/>
      </w:r>
      <w:r>
        <w:t>6</w:t>
      </w:r>
      <w:r>
        <w:fldChar w:fldCharType="end"/>
      </w:r>
      <w:r>
        <w:fldChar w:fldCharType="end"/>
      </w:r>
    </w:p>
    <w:p w14:paraId="51E637C8">
      <w:pPr>
        <w:pStyle w:val="20"/>
        <w:tabs>
          <w:tab w:val="right" w:leader="dot" w:pos="9344"/>
        </w:tabs>
        <w:spacing w:line="252" w:lineRule="auto"/>
      </w:pPr>
      <w:r>
        <w:fldChar w:fldCharType="begin"/>
      </w:r>
      <w:r>
        <w:instrText xml:space="preserve"> HYPERLINK \l "_Toc11920" </w:instrText>
      </w:r>
      <w:r>
        <w:fldChar w:fldCharType="separate"/>
      </w:r>
      <w:r>
        <w:rPr>
          <w:rFonts w:hint="eastAsia"/>
        </w:rPr>
        <w:t>7 安装和维护要求</w:t>
      </w:r>
      <w:r>
        <w:tab/>
      </w:r>
      <w:r>
        <w:fldChar w:fldCharType="begin"/>
      </w:r>
      <w:r>
        <w:instrText xml:space="preserve"> PAGEREF _Toc11920 \h </w:instrText>
      </w:r>
      <w:r>
        <w:fldChar w:fldCharType="separate"/>
      </w:r>
      <w:r>
        <w:t>7</w:t>
      </w:r>
      <w:r>
        <w:fldChar w:fldCharType="end"/>
      </w:r>
      <w:r>
        <w:fldChar w:fldCharType="end"/>
      </w:r>
    </w:p>
    <w:p w14:paraId="3E649B82">
      <w:pPr>
        <w:pStyle w:val="20"/>
        <w:tabs>
          <w:tab w:val="right" w:leader="dot" w:pos="9344"/>
        </w:tabs>
        <w:spacing w:line="252" w:lineRule="auto"/>
      </w:pPr>
      <w:r>
        <w:fldChar w:fldCharType="begin"/>
      </w:r>
      <w:r>
        <w:instrText xml:space="preserve"> HYPERLINK \l "_Toc13388" </w:instrText>
      </w:r>
      <w:r>
        <w:fldChar w:fldCharType="separate"/>
      </w:r>
      <w:r>
        <w:rPr>
          <w:rFonts w:hint="eastAsia"/>
        </w:rPr>
        <w:t>8 验收规则</w:t>
      </w:r>
      <w:r>
        <w:tab/>
      </w:r>
      <w:r>
        <w:fldChar w:fldCharType="begin"/>
      </w:r>
      <w:r>
        <w:instrText xml:space="preserve"> PAGEREF _Toc13388 \h </w:instrText>
      </w:r>
      <w:r>
        <w:fldChar w:fldCharType="separate"/>
      </w:r>
      <w:r>
        <w:t>8</w:t>
      </w:r>
      <w:r>
        <w:fldChar w:fldCharType="end"/>
      </w:r>
      <w:r>
        <w:fldChar w:fldCharType="end"/>
      </w:r>
    </w:p>
    <w:p w14:paraId="410B1C28">
      <w:pPr>
        <w:pStyle w:val="20"/>
        <w:tabs>
          <w:tab w:val="right" w:leader="dot" w:pos="9344"/>
        </w:tabs>
        <w:spacing w:line="252" w:lineRule="auto"/>
      </w:pPr>
      <w:r>
        <w:fldChar w:fldCharType="begin"/>
      </w:r>
      <w:r>
        <w:instrText xml:space="preserve"> HYPERLINK \l "_Toc18257" </w:instrText>
      </w:r>
      <w:r>
        <w:fldChar w:fldCharType="separate"/>
      </w:r>
      <w:r>
        <w:rPr>
          <w:rFonts w:hint="eastAsia"/>
        </w:rPr>
        <w:t xml:space="preserve">附录A </w:t>
      </w:r>
      <w:r>
        <w:t xml:space="preserve"> </w:t>
      </w:r>
      <w:r>
        <w:rPr>
          <w:rFonts w:hint="eastAsia"/>
        </w:rPr>
        <w:t>（规范性）</w:t>
      </w:r>
      <w:r>
        <w:t xml:space="preserve"> </w:t>
      </w:r>
      <w:r>
        <w:rPr>
          <w:rFonts w:hint="eastAsia"/>
        </w:rPr>
        <w:t>色坐标和色容差要求</w:t>
      </w:r>
      <w:r>
        <w:tab/>
      </w:r>
      <w:r>
        <w:fldChar w:fldCharType="begin"/>
      </w:r>
      <w:r>
        <w:instrText xml:space="preserve"> PAGEREF _Toc18257 \h </w:instrText>
      </w:r>
      <w:r>
        <w:fldChar w:fldCharType="separate"/>
      </w:r>
      <w:r>
        <w:t>11</w:t>
      </w:r>
      <w:r>
        <w:fldChar w:fldCharType="end"/>
      </w:r>
      <w:r>
        <w:fldChar w:fldCharType="end"/>
      </w:r>
    </w:p>
    <w:p w14:paraId="5409AC7C">
      <w:pPr>
        <w:pStyle w:val="20"/>
        <w:tabs>
          <w:tab w:val="right" w:leader="dot" w:pos="9344"/>
        </w:tabs>
        <w:spacing w:line="252" w:lineRule="auto"/>
      </w:pPr>
      <w:r>
        <w:fldChar w:fldCharType="begin"/>
      </w:r>
      <w:r>
        <w:instrText xml:space="preserve"> HYPERLINK \l "_Toc28423" </w:instrText>
      </w:r>
      <w:r>
        <w:fldChar w:fldCharType="separate"/>
      </w:r>
      <w:r>
        <w:rPr>
          <w:rFonts w:hint="eastAsia"/>
        </w:rPr>
        <w:t xml:space="preserve">附录B </w:t>
      </w:r>
      <w:r>
        <w:t xml:space="preserve"> </w:t>
      </w:r>
      <w:r>
        <w:rPr>
          <w:rFonts w:hint="eastAsia"/>
        </w:rPr>
        <w:t>（规范性）</w:t>
      </w:r>
      <w:r>
        <w:t xml:space="preserve"> </w:t>
      </w:r>
      <w:r>
        <w:rPr>
          <w:rFonts w:hint="eastAsia"/>
        </w:rPr>
        <w:t>现场测试方法</w:t>
      </w:r>
      <w:r>
        <w:tab/>
      </w:r>
      <w:r>
        <w:fldChar w:fldCharType="begin"/>
      </w:r>
      <w:r>
        <w:instrText xml:space="preserve"> PAGEREF _Toc28423 \h </w:instrText>
      </w:r>
      <w:r>
        <w:fldChar w:fldCharType="separate"/>
      </w:r>
      <w:r>
        <w:t>12</w:t>
      </w:r>
      <w:r>
        <w:fldChar w:fldCharType="end"/>
      </w:r>
      <w:r>
        <w:fldChar w:fldCharType="end"/>
      </w:r>
    </w:p>
    <w:p w14:paraId="428D1CE5">
      <w:pPr>
        <w:pStyle w:val="20"/>
        <w:tabs>
          <w:tab w:val="right" w:leader="dot" w:pos="9344"/>
        </w:tabs>
        <w:spacing w:line="252" w:lineRule="auto"/>
      </w:pPr>
      <w:r>
        <w:fldChar w:fldCharType="begin"/>
      </w:r>
      <w:r>
        <w:instrText xml:space="preserve"> HYPERLINK \l "_Toc24570" </w:instrText>
      </w:r>
      <w:r>
        <w:fldChar w:fldCharType="separate"/>
      </w:r>
      <w:r>
        <w:rPr>
          <w:rFonts w:hint="eastAsia"/>
        </w:rPr>
        <w:t xml:space="preserve">附录C </w:t>
      </w:r>
      <w:r>
        <w:t xml:space="preserve"> </w:t>
      </w:r>
      <w:r>
        <w:rPr>
          <w:rFonts w:hint="eastAsia"/>
        </w:rPr>
        <w:t>（资料性）</w:t>
      </w:r>
      <w:r>
        <w:t xml:space="preserve"> </w:t>
      </w:r>
      <w:r>
        <w:rPr>
          <w:rFonts w:hint="eastAsia"/>
        </w:rPr>
        <w:t>节律照明指标测试和计算方法</w:t>
      </w:r>
      <w:r>
        <w:tab/>
      </w:r>
      <w:r>
        <w:fldChar w:fldCharType="begin"/>
      </w:r>
      <w:r>
        <w:instrText xml:space="preserve"> PAGEREF _Toc24570 \h </w:instrText>
      </w:r>
      <w:r>
        <w:fldChar w:fldCharType="separate"/>
      </w:r>
      <w:r>
        <w:t>15</w:t>
      </w:r>
      <w:r>
        <w:fldChar w:fldCharType="end"/>
      </w:r>
      <w:r>
        <w:fldChar w:fldCharType="end"/>
      </w:r>
    </w:p>
    <w:p w14:paraId="1CBEAD61">
      <w:pPr>
        <w:pStyle w:val="20"/>
        <w:tabs>
          <w:tab w:val="right" w:leader="dot" w:pos="9344"/>
        </w:tabs>
        <w:spacing w:line="252" w:lineRule="auto"/>
      </w:pPr>
      <w:r>
        <w:fldChar w:fldCharType="begin"/>
      </w:r>
      <w:r>
        <w:instrText xml:space="preserve"> HYPERLINK \l "_Toc32237" </w:instrText>
      </w:r>
      <w:r>
        <w:fldChar w:fldCharType="separate"/>
      </w:r>
      <w:r>
        <w:rPr>
          <w:rFonts w:hint="eastAsia"/>
        </w:rPr>
        <w:t>参考文献</w:t>
      </w:r>
      <w:r>
        <w:tab/>
      </w:r>
      <w:r>
        <w:fldChar w:fldCharType="begin"/>
      </w:r>
      <w:r>
        <w:instrText xml:space="preserve"> PAGEREF _Toc32237 \h </w:instrText>
      </w:r>
      <w:r>
        <w:fldChar w:fldCharType="separate"/>
      </w:r>
      <w:r>
        <w:t>18</w:t>
      </w:r>
      <w:r>
        <w:fldChar w:fldCharType="end"/>
      </w:r>
      <w:r>
        <w:fldChar w:fldCharType="end"/>
      </w:r>
    </w:p>
    <w:p w14:paraId="3B61B654">
      <w:pPr>
        <w:pStyle w:val="20"/>
        <w:tabs>
          <w:tab w:val="right" w:leader="dot" w:pos="9344"/>
        </w:tabs>
        <w:spacing w:line="252" w:lineRule="auto"/>
        <w:sectPr>
          <w:headerReference r:id="rId9" w:type="default"/>
          <w:footerReference r:id="rId11" w:type="default"/>
          <w:headerReference r:id="rId10" w:type="even"/>
          <w:footerReference r:id="rId12"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1"/>
    <w:p w14:paraId="21E3AE46">
      <w:pPr>
        <w:pStyle w:val="92"/>
        <w:spacing w:before="900" w:after="360"/>
      </w:pPr>
      <w:bookmarkStart w:id="2" w:name="_Toc19249"/>
      <w:bookmarkStart w:id="3" w:name="BookMark2"/>
      <w:r>
        <w:rPr>
          <w:spacing w:val="320"/>
        </w:rPr>
        <w:t>前</w:t>
      </w:r>
      <w:r>
        <w:t>言</w:t>
      </w:r>
      <w:bookmarkEnd w:id="2"/>
    </w:p>
    <w:p w14:paraId="1F968C9D">
      <w:pPr>
        <w:pStyle w:val="59"/>
        <w:ind w:firstLine="420"/>
      </w:pPr>
      <w:r>
        <w:rPr>
          <w:rFonts w:hint="eastAsia"/>
        </w:rPr>
        <w:t>本文件按照GB/T 1.1—2020《标准化工作导则  第1部分：标准化文件的结构和起草规则》的规定起草。</w:t>
      </w:r>
    </w:p>
    <w:p w14:paraId="53A835F7">
      <w:pPr>
        <w:pStyle w:val="59"/>
        <w:ind w:firstLine="420"/>
        <w:rPr>
          <w:rFonts w:ascii="Times New Roman"/>
        </w:rPr>
      </w:pPr>
      <w:r>
        <w:rPr>
          <w:rFonts w:hint="eastAsia" w:ascii="Times New Roman"/>
        </w:rPr>
        <w:t>本文件的发布机构不承担使用该标准产生的法律责任。</w:t>
      </w:r>
    </w:p>
    <w:p w14:paraId="63EA26DB">
      <w:pPr>
        <w:pStyle w:val="59"/>
        <w:ind w:firstLine="420"/>
        <w:rPr>
          <w:rFonts w:ascii="Times New Roman"/>
        </w:rPr>
      </w:pPr>
      <w:r>
        <w:rPr>
          <w:rFonts w:hint="eastAsia" w:ascii="Times New Roman"/>
        </w:rPr>
        <w:t>请注意本文件的某些内容可能涉及专利。本文件的发布机构不承担识别专利的责任。</w:t>
      </w:r>
    </w:p>
    <w:p w14:paraId="2D93B32A">
      <w:pPr>
        <w:pStyle w:val="59"/>
        <w:ind w:firstLine="420"/>
        <w:rPr>
          <w:rFonts w:ascii="Times New Roman"/>
        </w:rPr>
      </w:pPr>
      <w:r>
        <w:rPr>
          <w:rFonts w:hint="eastAsia" w:ascii="Times New Roman"/>
        </w:rPr>
        <w:t>本文件由广东省照明学会提出并组织实施。</w:t>
      </w:r>
    </w:p>
    <w:p w14:paraId="0E0C90E9">
      <w:pPr>
        <w:pStyle w:val="59"/>
        <w:ind w:firstLine="420"/>
        <w:rPr>
          <w:rFonts w:ascii="Times New Roman"/>
        </w:rPr>
      </w:pPr>
      <w:r>
        <w:rPr>
          <w:rFonts w:hint="eastAsia" w:ascii="Times New Roman"/>
        </w:rPr>
        <w:t>本文件由广东省照明学会归口。</w:t>
      </w:r>
    </w:p>
    <w:p w14:paraId="073C7467">
      <w:pPr>
        <w:pStyle w:val="59"/>
        <w:ind w:firstLine="420"/>
        <w:rPr>
          <w:rFonts w:ascii="Times New Roman"/>
        </w:rPr>
      </w:pPr>
      <w:r>
        <w:rPr>
          <w:rFonts w:hint="eastAsia" w:ascii="Times New Roman"/>
        </w:rPr>
        <w:t>本文件起草单位：广东产品质量监督检验研究院、复旦大学、广州志启智慧家居科技有限公司、香港照明学会、中山大学中山眼科中心、香港标准及检定中心有限公司、澳门照明与光电学会、广东省教育装备中心、广东省中山市质量计量监督检测所、广东晶科电子股份有限公司、佛山电器照明股份有限公司、佛山市国星光电股份有限公司、广东甲沐光电科技有限公司、广东尔漫照明有限公司、月影照明科技(深圳)有限公司、莱茵技术监督服务(广东)有限公司、哈工光电科技（深圳）有限公司、公牛集团股份有限公司、广东金莱特智能科技有限公司</w:t>
      </w:r>
      <w:bookmarkStart w:id="237" w:name="_GoBack"/>
      <w:bookmarkEnd w:id="237"/>
      <w:r>
        <w:rPr>
          <w:rFonts w:hint="eastAsia" w:ascii="Times New Roman"/>
        </w:rPr>
        <w:t>、惠州雷士光电科技有限公司、佛山市九牛五金电器有限公司。</w:t>
      </w:r>
    </w:p>
    <w:p w14:paraId="04D1750E">
      <w:pPr>
        <w:pStyle w:val="59"/>
        <w:ind w:firstLine="420"/>
        <w:rPr>
          <w:rFonts w:ascii="Times New Roman"/>
        </w:rPr>
      </w:pPr>
      <w:r>
        <w:rPr>
          <w:rFonts w:hint="eastAsia" w:ascii="Times New Roman"/>
        </w:rPr>
        <w:t>本文件主要起草人：陈海波、何伟洪、戴奇、</w:t>
      </w:r>
      <w:r>
        <w:rPr>
          <w:rFonts w:hint="eastAsia" w:ascii="Times New Roman"/>
          <w:lang w:val="en-US" w:eastAsia="zh-CN"/>
        </w:rPr>
        <w:t>温永彩、</w:t>
      </w:r>
      <w:r>
        <w:rPr>
          <w:rFonts w:hint="eastAsia" w:ascii="Times New Roman"/>
        </w:rPr>
        <w:t>刘悦敏、胡治国、邵志杨、林智、朱颖婷、曾智刚、李仲民、廖帆、朱琴、彭振坚、李志珂、王燕芬、肖国伟、曾照明、陈泽娜、丁文超、卞国权、潘利兵、王瑞、刘家红、曾军华、严顺、阿里莫望、毛延森、李彦、陈开元、王春林、闫舒雅、廖春晖。</w:t>
      </w:r>
    </w:p>
    <w:p w14:paraId="1252397C">
      <w:pPr>
        <w:pStyle w:val="59"/>
        <w:ind w:firstLine="420"/>
      </w:pPr>
      <w:r>
        <w:rPr>
          <w:rFonts w:hint="eastAsia" w:ascii="Times New Roman"/>
        </w:rPr>
        <w:t>本文件为首次发布。</w:t>
      </w:r>
    </w:p>
    <w:p w14:paraId="5E4C5776">
      <w:pPr>
        <w:pStyle w:val="59"/>
        <w:ind w:firstLine="420"/>
      </w:pPr>
    </w:p>
    <w:p w14:paraId="31094294">
      <w:pPr>
        <w:pStyle w:val="59"/>
        <w:ind w:firstLine="420"/>
        <w:sectPr>
          <w:headerReference r:id="rId13" w:type="default"/>
          <w:footerReference r:id="rId15" w:type="default"/>
          <w:headerReference r:id="rId14" w:type="even"/>
          <w:footerReference r:id="rId16" w:type="even"/>
          <w:pgSz w:w="11906" w:h="16838"/>
          <w:pgMar w:top="1928" w:right="1134" w:bottom="1134" w:left="1134" w:header="1418" w:footer="1134" w:gutter="284"/>
          <w:pgNumType w:fmt="upperRoman"/>
          <w:cols w:space="425" w:num="1"/>
          <w:formProt w:val="0"/>
          <w:docGrid w:linePitch="312" w:charSpace="0"/>
        </w:sectPr>
      </w:pPr>
    </w:p>
    <w:bookmarkEnd w:id="3"/>
    <w:p w14:paraId="4918FB8E">
      <w:pPr>
        <w:spacing w:line="20" w:lineRule="exact"/>
        <w:jc w:val="center"/>
        <w:rPr>
          <w:rFonts w:hint="eastAsia" w:ascii="黑体" w:hAnsi="黑体" w:eastAsia="黑体"/>
          <w:sz w:val="32"/>
          <w:szCs w:val="32"/>
        </w:rPr>
      </w:pPr>
      <w:bookmarkStart w:id="4" w:name="BookMark4"/>
    </w:p>
    <w:p w14:paraId="6A2C3B2B">
      <w:pPr>
        <w:spacing w:line="20" w:lineRule="exact"/>
        <w:jc w:val="center"/>
        <w:rPr>
          <w:rFonts w:hint="eastAsia" w:ascii="黑体" w:hAnsi="黑体" w:eastAsia="黑体"/>
          <w:sz w:val="32"/>
          <w:szCs w:val="32"/>
        </w:rPr>
      </w:pPr>
    </w:p>
    <w:sdt>
      <w:sdtPr>
        <w:tag w:val="NEW_STAND_NAME"/>
        <w:id w:val="595910757"/>
        <w:lock w:val="sdtLocked"/>
        <w:placeholder>
          <w:docPart w:val="085A36E8C744414190FD53463E31A48F"/>
        </w:placeholder>
      </w:sdtPr>
      <w:sdtEndPr>
        <w:rPr>
          <w:rFonts w:hint="eastAsia"/>
        </w:rPr>
      </w:sdtEndPr>
      <w:sdtContent>
        <w:p w14:paraId="582AEF2E">
          <w:pPr>
            <w:pStyle w:val="180"/>
            <w:spacing w:before="240" w:beforeLines="100" w:after="528" w:afterLines="220"/>
            <w:rPr>
              <w:rFonts w:hint="eastAsia"/>
            </w:rPr>
          </w:pPr>
          <w:bookmarkStart w:id="5" w:name="NEW_STAND_NAME"/>
          <w:r>
            <w:rPr>
              <w:rFonts w:hint="eastAsia"/>
            </w:rPr>
            <w:t>中小学校教室照明技术规范</w:t>
          </w:r>
        </w:p>
      </w:sdtContent>
    </w:sdt>
    <w:bookmarkEnd w:id="5"/>
    <w:p w14:paraId="5507C3DE">
      <w:pPr>
        <w:pStyle w:val="107"/>
        <w:spacing w:before="240" w:after="240"/>
      </w:pPr>
      <w:bookmarkStart w:id="6" w:name="_Toc26718930"/>
      <w:bookmarkStart w:id="7" w:name="_Toc17233333"/>
      <w:bookmarkStart w:id="8" w:name="_Toc26986530"/>
      <w:bookmarkStart w:id="9" w:name="_Toc3739"/>
      <w:bookmarkStart w:id="10" w:name="_Toc26648465"/>
      <w:bookmarkStart w:id="11" w:name="_Toc26986771"/>
      <w:bookmarkStart w:id="12" w:name="_Toc24884218"/>
      <w:bookmarkStart w:id="13" w:name="_Toc97192964"/>
      <w:bookmarkStart w:id="14" w:name="_Toc24884211"/>
      <w:bookmarkStart w:id="15" w:name="_Toc17233325"/>
      <w:r>
        <w:rPr>
          <w:rFonts w:hint="eastAsia"/>
        </w:rPr>
        <w:t>范围</w:t>
      </w:r>
      <w:bookmarkEnd w:id="6"/>
      <w:bookmarkEnd w:id="7"/>
      <w:bookmarkEnd w:id="8"/>
      <w:bookmarkEnd w:id="9"/>
      <w:bookmarkEnd w:id="10"/>
      <w:bookmarkEnd w:id="11"/>
      <w:bookmarkEnd w:id="12"/>
      <w:bookmarkEnd w:id="13"/>
      <w:bookmarkEnd w:id="14"/>
      <w:bookmarkEnd w:id="15"/>
    </w:p>
    <w:p w14:paraId="33E6CEEA">
      <w:pPr>
        <w:pStyle w:val="59"/>
        <w:ind w:firstLine="420"/>
        <w:rPr>
          <w:rFonts w:cstheme="minorBidi"/>
          <w:color w:val="000000"/>
          <w:szCs w:val="22"/>
        </w:rPr>
      </w:pPr>
      <w:bookmarkStart w:id="16" w:name="_Toc26648466"/>
      <w:bookmarkStart w:id="17" w:name="_Toc17233334"/>
      <w:bookmarkStart w:id="18" w:name="_Toc24884212"/>
      <w:bookmarkStart w:id="19" w:name="_Toc17233326"/>
      <w:bookmarkStart w:id="20" w:name="_Toc24884219"/>
      <w:r>
        <w:rPr>
          <w:rFonts w:hint="eastAsia" w:cstheme="minorBidi"/>
          <w:color w:val="000000"/>
          <w:szCs w:val="22"/>
        </w:rPr>
        <w:t>本文件规定了中小学校教室照明技术的荧光灯灯具技术要求、LED灯具技术要求、教室的照明质量和节能要求、安装和维护要求及验收规则。</w:t>
      </w:r>
    </w:p>
    <w:p w14:paraId="30648C0D">
      <w:pPr>
        <w:pStyle w:val="59"/>
        <w:ind w:firstLine="420"/>
        <w:rPr>
          <w:rFonts w:cstheme="minorBidi"/>
          <w:color w:val="000000"/>
          <w:szCs w:val="22"/>
        </w:rPr>
      </w:pPr>
      <w:r>
        <w:rPr>
          <w:rFonts w:hint="eastAsia" w:cstheme="minorBidi"/>
          <w:color w:val="000000"/>
          <w:szCs w:val="22"/>
        </w:rPr>
        <w:t>本文件适用于新建、扩建、改建和实施照明改造的中小学校教室，包括普通教室、实验室、阅览室、舞蹈教室、美术教室、书法教室、计算机教室以及电子阅览室等教室场所。其余学校和培训机构教室可参照本文件执行。</w:t>
      </w:r>
    </w:p>
    <w:p w14:paraId="2F3D67F5">
      <w:pPr>
        <w:pStyle w:val="107"/>
        <w:spacing w:before="240" w:after="240"/>
      </w:pPr>
      <w:bookmarkStart w:id="21" w:name="_Toc97192965"/>
      <w:bookmarkStart w:id="22" w:name="_Toc9726"/>
      <w:bookmarkStart w:id="23" w:name="_Toc26718931"/>
      <w:bookmarkStart w:id="24" w:name="_Toc26986772"/>
      <w:bookmarkStart w:id="25" w:name="_Toc26986531"/>
      <w:r>
        <w:rPr>
          <w:rFonts w:hint="eastAsia"/>
        </w:rPr>
        <w:t>规范性引用文件</w:t>
      </w:r>
      <w:bookmarkEnd w:id="16"/>
      <w:bookmarkEnd w:id="17"/>
      <w:bookmarkEnd w:id="18"/>
      <w:bookmarkEnd w:id="19"/>
      <w:bookmarkEnd w:id="20"/>
      <w:bookmarkEnd w:id="21"/>
      <w:bookmarkEnd w:id="22"/>
      <w:bookmarkEnd w:id="23"/>
      <w:bookmarkEnd w:id="24"/>
      <w:bookmarkEnd w:id="25"/>
    </w:p>
    <w:sdt>
      <w:sdtPr>
        <w:rPr>
          <w:rFonts w:hint="eastAsia"/>
        </w:rPr>
        <w:id w:val="715848253"/>
        <w:placeholder>
          <w:docPart w:val="E977BE3CFCAF4E35B4CE9826D4F3E13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0A9EBD33">
          <w:pPr>
            <w:pStyle w:val="59"/>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9CCAB74">
      <w:pPr>
        <w:widowControl/>
        <w:autoSpaceDE w:val="0"/>
        <w:autoSpaceDN w:val="0"/>
        <w:adjustRightInd/>
        <w:spacing w:line="240" w:lineRule="auto"/>
        <w:ind w:left="420"/>
        <w:rPr>
          <w:rFonts w:ascii="Times New Roman" w:hAnsi="Times New Roman"/>
        </w:rPr>
      </w:pPr>
      <w:r>
        <w:rPr>
          <w:rFonts w:ascii="Times New Roman" w:hAnsi="Times New Roman"/>
        </w:rPr>
        <w:t>GB/T 2900.65 电工术语 照明</w:t>
      </w:r>
    </w:p>
    <w:p w14:paraId="48B037F0">
      <w:pPr>
        <w:widowControl/>
        <w:autoSpaceDE w:val="0"/>
        <w:autoSpaceDN w:val="0"/>
        <w:adjustRightInd/>
        <w:spacing w:line="240" w:lineRule="auto"/>
        <w:ind w:left="420"/>
        <w:rPr>
          <w:rFonts w:ascii="Times New Roman" w:hAnsi="Times New Roman"/>
        </w:rPr>
      </w:pPr>
      <w:r>
        <w:rPr>
          <w:rFonts w:ascii="Times New Roman" w:hAnsi="Times New Roman"/>
        </w:rPr>
        <w:t>GB/T 5700  照明测量方法</w:t>
      </w:r>
    </w:p>
    <w:p w14:paraId="7EDBB52B">
      <w:pPr>
        <w:widowControl/>
        <w:autoSpaceDE w:val="0"/>
        <w:autoSpaceDN w:val="0"/>
        <w:adjustRightInd/>
        <w:spacing w:line="240" w:lineRule="auto"/>
        <w:ind w:left="420"/>
        <w:rPr>
          <w:rFonts w:ascii="Times New Roman" w:hAnsi="Times New Roman"/>
        </w:rPr>
      </w:pPr>
      <w:r>
        <w:rPr>
          <w:rFonts w:ascii="Times New Roman" w:hAnsi="Times New Roman"/>
        </w:rPr>
        <w:t>GB/T 7000.1  灯具  第1部分：一般要求与试验</w:t>
      </w:r>
    </w:p>
    <w:p w14:paraId="12F293B3">
      <w:pPr>
        <w:widowControl/>
        <w:autoSpaceDE w:val="0"/>
        <w:autoSpaceDN w:val="0"/>
        <w:adjustRightInd/>
        <w:spacing w:line="240" w:lineRule="auto"/>
        <w:ind w:left="420"/>
        <w:rPr>
          <w:rFonts w:ascii="Times New Roman" w:hAnsi="Times New Roman"/>
        </w:rPr>
      </w:pPr>
      <w:r>
        <w:rPr>
          <w:rFonts w:ascii="Times New Roman" w:hAnsi="Times New Roman"/>
        </w:rPr>
        <w:t>GB/T 7000.201  灯具  第2-1部分：特殊要求  固定式通用灯具</w:t>
      </w:r>
    </w:p>
    <w:p w14:paraId="07E89848">
      <w:pPr>
        <w:widowControl/>
        <w:autoSpaceDE w:val="0"/>
        <w:autoSpaceDN w:val="0"/>
        <w:adjustRightInd/>
        <w:spacing w:line="240" w:lineRule="auto"/>
        <w:ind w:left="420"/>
        <w:rPr>
          <w:rFonts w:ascii="Times New Roman" w:hAnsi="Times New Roman"/>
        </w:rPr>
      </w:pPr>
      <w:r>
        <w:rPr>
          <w:rFonts w:ascii="Times New Roman" w:hAnsi="Times New Roman"/>
        </w:rPr>
        <w:t>GB/T 7000.202  灯具  第2-2部分：特殊要求  嵌入式灯具</w:t>
      </w:r>
    </w:p>
    <w:p w14:paraId="22ADF87A">
      <w:pPr>
        <w:widowControl/>
        <w:autoSpaceDE w:val="0"/>
        <w:autoSpaceDN w:val="0"/>
        <w:adjustRightInd/>
        <w:spacing w:line="240" w:lineRule="auto"/>
        <w:ind w:left="420"/>
        <w:rPr>
          <w:rFonts w:ascii="Times New Roman" w:hAnsi="Times New Roman"/>
        </w:rPr>
      </w:pPr>
      <w:r>
        <w:rPr>
          <w:rFonts w:ascii="Times New Roman" w:hAnsi="Times New Roman"/>
        </w:rPr>
        <w:t>GB 7793  中小学校教室采光和照明卫生标准</w:t>
      </w:r>
    </w:p>
    <w:p w14:paraId="374A9D5F">
      <w:pPr>
        <w:widowControl/>
        <w:autoSpaceDE w:val="0"/>
        <w:autoSpaceDN w:val="0"/>
        <w:adjustRightInd/>
        <w:spacing w:line="240" w:lineRule="auto"/>
        <w:ind w:left="420"/>
        <w:rPr>
          <w:rFonts w:ascii="Times New Roman" w:hAnsi="Times New Roman"/>
        </w:rPr>
      </w:pPr>
      <w:r>
        <w:rPr>
          <w:rFonts w:ascii="Times New Roman" w:hAnsi="Times New Roman"/>
        </w:rPr>
        <w:t>GB/T 9468  灯具分布光度测量的一般要求</w:t>
      </w:r>
    </w:p>
    <w:p w14:paraId="11B988F1">
      <w:pPr>
        <w:widowControl/>
        <w:autoSpaceDE w:val="0"/>
        <w:autoSpaceDN w:val="0"/>
        <w:adjustRightInd/>
        <w:spacing w:line="240" w:lineRule="auto"/>
        <w:ind w:left="420"/>
        <w:rPr>
          <w:rFonts w:ascii="Times New Roman" w:hAnsi="Times New Roman"/>
        </w:rPr>
      </w:pPr>
      <w:r>
        <w:rPr>
          <w:rFonts w:ascii="Times New Roman" w:hAnsi="Times New Roman"/>
        </w:rPr>
        <w:t>GB/T 10682  双端荧光灯性能要求</w:t>
      </w:r>
    </w:p>
    <w:p w14:paraId="2AC43C4D">
      <w:pPr>
        <w:widowControl/>
        <w:autoSpaceDE w:val="0"/>
        <w:autoSpaceDN w:val="0"/>
        <w:adjustRightInd/>
        <w:spacing w:line="240" w:lineRule="auto"/>
        <w:ind w:left="420"/>
        <w:rPr>
          <w:rFonts w:ascii="Times New Roman" w:hAnsi="Times New Roman"/>
        </w:rPr>
      </w:pPr>
      <w:r>
        <w:rPr>
          <w:rFonts w:ascii="Times New Roman" w:hAnsi="Times New Roman"/>
        </w:rPr>
        <w:t>GB/T 15144-2020  管形荧光灯用交流和/或直流电子控制装置  性能要求</w:t>
      </w:r>
    </w:p>
    <w:p w14:paraId="6D954C4E">
      <w:pPr>
        <w:widowControl/>
        <w:autoSpaceDE w:val="0"/>
        <w:autoSpaceDN w:val="0"/>
        <w:adjustRightInd/>
        <w:spacing w:line="240" w:lineRule="auto"/>
        <w:ind w:left="420"/>
        <w:rPr>
          <w:rFonts w:ascii="Times New Roman" w:hAnsi="Times New Roman"/>
        </w:rPr>
      </w:pPr>
      <w:r>
        <w:rPr>
          <w:rFonts w:ascii="Times New Roman" w:hAnsi="Times New Roman"/>
        </w:rPr>
        <w:t>GB 17625.1  电磁兼容  限值  谐波电流发射限值（设备每相输入电流≤16A）</w:t>
      </w:r>
    </w:p>
    <w:p w14:paraId="1A6FBD9A">
      <w:pPr>
        <w:widowControl/>
        <w:autoSpaceDE w:val="0"/>
        <w:autoSpaceDN w:val="0"/>
        <w:adjustRightInd/>
        <w:spacing w:line="240" w:lineRule="auto"/>
        <w:ind w:left="420"/>
        <w:rPr>
          <w:rFonts w:ascii="Times New Roman" w:hAnsi="Times New Roman"/>
        </w:rPr>
      </w:pPr>
      <w:r>
        <w:rPr>
          <w:rFonts w:ascii="Times New Roman" w:hAnsi="Times New Roman"/>
        </w:rPr>
        <w:t>GB/T 17743  电气照明和类似设备的无线电骚扰特性的限值和测量方法</w:t>
      </w:r>
    </w:p>
    <w:p w14:paraId="18195B69">
      <w:pPr>
        <w:widowControl/>
        <w:autoSpaceDE w:val="0"/>
        <w:autoSpaceDN w:val="0"/>
        <w:adjustRightInd/>
        <w:spacing w:line="240" w:lineRule="auto"/>
        <w:ind w:left="420"/>
        <w:rPr>
          <w:rFonts w:ascii="Times New Roman" w:hAnsi="Times New Roman"/>
        </w:rPr>
      </w:pPr>
      <w:r>
        <w:rPr>
          <w:rFonts w:ascii="Times New Roman" w:hAnsi="Times New Roman"/>
        </w:rPr>
        <w:t>GB 19043  普通照明用双端荧光灯能效限定值及能效等级</w:t>
      </w:r>
    </w:p>
    <w:p w14:paraId="0FAD6FEC">
      <w:pPr>
        <w:widowControl/>
        <w:autoSpaceDE w:val="0"/>
        <w:autoSpaceDN w:val="0"/>
        <w:adjustRightInd/>
        <w:spacing w:line="240" w:lineRule="auto"/>
        <w:ind w:left="420"/>
        <w:rPr>
          <w:rFonts w:ascii="Times New Roman" w:hAnsi="Times New Roman"/>
          <w:color w:val="FF0000"/>
        </w:rPr>
      </w:pPr>
      <w:r>
        <w:rPr>
          <w:rFonts w:ascii="Times New Roman" w:hAnsi="Times New Roman"/>
          <w:color w:val="FF0000"/>
        </w:rPr>
        <w:t xml:space="preserve">GB/T 19510.1  </w:t>
      </w:r>
      <w:r>
        <w:rPr>
          <w:rFonts w:hint="eastAsia" w:ascii="Times New Roman" w:hAnsi="Times New Roman"/>
          <w:color w:val="FF0000"/>
          <w:lang w:eastAsia="zh-CN"/>
        </w:rPr>
        <w:t>光源</w:t>
      </w:r>
      <w:r>
        <w:rPr>
          <w:rFonts w:ascii="Times New Roman" w:hAnsi="Times New Roman"/>
          <w:color w:val="FF0000"/>
        </w:rPr>
        <w:t>控制装置  第1部分：一般要求和安全要求</w:t>
      </w:r>
    </w:p>
    <w:p w14:paraId="1384881C">
      <w:pPr>
        <w:widowControl/>
        <w:autoSpaceDE w:val="0"/>
        <w:autoSpaceDN w:val="0"/>
        <w:adjustRightInd/>
        <w:spacing w:line="240" w:lineRule="auto"/>
        <w:ind w:left="420"/>
        <w:rPr>
          <w:rFonts w:ascii="Times New Roman" w:hAnsi="Times New Roman"/>
          <w:color w:val="FF0000"/>
        </w:rPr>
      </w:pPr>
      <w:r>
        <w:rPr>
          <w:rFonts w:ascii="Times New Roman" w:hAnsi="Times New Roman"/>
          <w:color w:val="FF0000"/>
        </w:rPr>
        <w:t>GB/T 19510.</w:t>
      </w:r>
      <w:r>
        <w:rPr>
          <w:rFonts w:hint="eastAsia" w:ascii="Times New Roman" w:hAnsi="Times New Roman"/>
          <w:color w:val="FF0000"/>
          <w:lang w:val="en-US" w:eastAsia="zh-CN"/>
        </w:rPr>
        <w:t>203</w:t>
      </w:r>
      <w:r>
        <w:rPr>
          <w:rFonts w:ascii="Times New Roman" w:hAnsi="Times New Roman"/>
          <w:color w:val="FF0000"/>
        </w:rPr>
        <w:t xml:space="preserve">  </w:t>
      </w:r>
      <w:r>
        <w:rPr>
          <w:rFonts w:hint="eastAsia" w:ascii="Times New Roman" w:hAnsi="Times New Roman"/>
          <w:color w:val="FF0000"/>
          <w:lang w:eastAsia="zh-CN"/>
        </w:rPr>
        <w:t>光源</w:t>
      </w:r>
      <w:r>
        <w:rPr>
          <w:rFonts w:ascii="Times New Roman" w:hAnsi="Times New Roman"/>
          <w:color w:val="FF0000"/>
        </w:rPr>
        <w:t>控制装置  第</w:t>
      </w:r>
      <w:r>
        <w:rPr>
          <w:rFonts w:hint="eastAsia" w:ascii="Times New Roman" w:hAnsi="Times New Roman"/>
          <w:color w:val="FF0000"/>
          <w:lang w:val="en-US" w:eastAsia="zh-CN"/>
        </w:rPr>
        <w:t>2-3</w:t>
      </w:r>
      <w:r>
        <w:rPr>
          <w:rFonts w:ascii="Times New Roman" w:hAnsi="Times New Roman"/>
          <w:color w:val="FF0000"/>
        </w:rPr>
        <w:t>部分：荧光灯用交流</w:t>
      </w:r>
      <w:r>
        <w:rPr>
          <w:rFonts w:hint="eastAsia" w:ascii="Times New Roman" w:hAnsi="Times New Roman"/>
          <w:color w:val="FF0000"/>
          <w:lang w:eastAsia="zh-CN"/>
        </w:rPr>
        <w:t>和</w:t>
      </w:r>
      <w:r>
        <w:rPr>
          <w:rFonts w:hint="eastAsia" w:ascii="Times New Roman" w:hAnsi="Times New Roman"/>
          <w:color w:val="FF0000"/>
          <w:lang w:val="en-US" w:eastAsia="zh-CN"/>
        </w:rPr>
        <w:t>/或直流</w:t>
      </w:r>
      <w:r>
        <w:rPr>
          <w:rFonts w:ascii="Times New Roman" w:hAnsi="Times New Roman"/>
          <w:color w:val="FF0000"/>
        </w:rPr>
        <w:t>电子</w:t>
      </w:r>
      <w:r>
        <w:rPr>
          <w:rFonts w:hint="eastAsia" w:ascii="Times New Roman" w:hAnsi="Times New Roman"/>
          <w:color w:val="FF0000"/>
          <w:lang w:eastAsia="zh-CN"/>
        </w:rPr>
        <w:t>控制装置</w:t>
      </w:r>
      <w:r>
        <w:rPr>
          <w:rFonts w:ascii="Times New Roman" w:hAnsi="Times New Roman"/>
          <w:color w:val="FF0000"/>
        </w:rPr>
        <w:t>的特殊要求</w:t>
      </w:r>
    </w:p>
    <w:p w14:paraId="43AE4874">
      <w:pPr>
        <w:widowControl/>
        <w:autoSpaceDE w:val="0"/>
        <w:autoSpaceDN w:val="0"/>
        <w:adjustRightInd/>
        <w:spacing w:line="240" w:lineRule="auto"/>
        <w:ind w:left="420"/>
        <w:rPr>
          <w:rFonts w:ascii="Times New Roman" w:hAnsi="Times New Roman"/>
          <w:color w:val="FF0000"/>
        </w:rPr>
      </w:pPr>
      <w:r>
        <w:rPr>
          <w:rFonts w:ascii="Times New Roman" w:hAnsi="Times New Roman"/>
          <w:color w:val="FF0000"/>
        </w:rPr>
        <w:t>GB/T 19510.</w:t>
      </w:r>
      <w:r>
        <w:rPr>
          <w:rFonts w:hint="eastAsia" w:ascii="Times New Roman" w:hAnsi="Times New Roman"/>
          <w:color w:val="FF0000"/>
          <w:lang w:val="en-US" w:eastAsia="zh-CN"/>
        </w:rPr>
        <w:t>213</w:t>
      </w:r>
      <w:r>
        <w:rPr>
          <w:rFonts w:ascii="Times New Roman" w:hAnsi="Times New Roman"/>
          <w:color w:val="FF0000"/>
        </w:rPr>
        <w:t xml:space="preserve">  </w:t>
      </w:r>
      <w:r>
        <w:rPr>
          <w:rFonts w:hint="eastAsia" w:ascii="Times New Roman" w:hAnsi="Times New Roman"/>
          <w:color w:val="FF0000"/>
          <w:lang w:eastAsia="zh-CN"/>
        </w:rPr>
        <w:t>光源</w:t>
      </w:r>
      <w:r>
        <w:rPr>
          <w:rFonts w:ascii="Times New Roman" w:hAnsi="Times New Roman"/>
          <w:color w:val="FF0000"/>
        </w:rPr>
        <w:t>控制装置  第</w:t>
      </w:r>
      <w:r>
        <w:rPr>
          <w:rFonts w:hint="eastAsia" w:ascii="Times New Roman" w:hAnsi="Times New Roman"/>
          <w:color w:val="FF0000"/>
          <w:lang w:val="en-US" w:eastAsia="zh-CN"/>
        </w:rPr>
        <w:t>2-13</w:t>
      </w:r>
      <w:r>
        <w:rPr>
          <w:rFonts w:ascii="Times New Roman" w:hAnsi="Times New Roman"/>
          <w:color w:val="FF0000"/>
        </w:rPr>
        <w:t>部分：LED模块用直流或交流电子控制装置的特殊要求</w:t>
      </w:r>
    </w:p>
    <w:p w14:paraId="0A2EF9AF">
      <w:pPr>
        <w:widowControl/>
        <w:autoSpaceDE w:val="0"/>
        <w:autoSpaceDN w:val="0"/>
        <w:adjustRightInd/>
        <w:spacing w:line="240" w:lineRule="auto"/>
        <w:ind w:left="420"/>
        <w:rPr>
          <w:rFonts w:ascii="Times New Roman" w:hAnsi="Times New Roman"/>
        </w:rPr>
      </w:pPr>
      <w:r>
        <w:rPr>
          <w:rFonts w:ascii="Times New Roman" w:hAnsi="Times New Roman"/>
        </w:rPr>
        <w:t>GB/T 20145  灯和灯系统的光生物安全性</w:t>
      </w:r>
    </w:p>
    <w:p w14:paraId="10810586">
      <w:pPr>
        <w:widowControl/>
        <w:autoSpaceDE w:val="0"/>
        <w:autoSpaceDN w:val="0"/>
        <w:adjustRightInd/>
        <w:spacing w:line="240" w:lineRule="auto"/>
        <w:ind w:left="420"/>
        <w:rPr>
          <w:rFonts w:ascii="Times New Roman" w:hAnsi="Times New Roman"/>
        </w:rPr>
      </w:pPr>
      <w:r>
        <w:rPr>
          <w:rFonts w:ascii="Times New Roman" w:hAnsi="Times New Roman"/>
        </w:rPr>
        <w:t>GB/T 24819  普通照明用LED模块  安全要求</w:t>
      </w:r>
    </w:p>
    <w:p w14:paraId="57C023A9">
      <w:pPr>
        <w:widowControl/>
        <w:autoSpaceDE w:val="0"/>
        <w:autoSpaceDN w:val="0"/>
        <w:adjustRightInd/>
        <w:spacing w:line="240" w:lineRule="auto"/>
        <w:ind w:left="420"/>
        <w:rPr>
          <w:rFonts w:ascii="Times New Roman" w:hAnsi="Times New Roman"/>
        </w:rPr>
      </w:pPr>
      <w:r>
        <w:rPr>
          <w:rFonts w:ascii="Times New Roman" w:hAnsi="Times New Roman"/>
        </w:rPr>
        <w:t>GB/T 24823-2017  普通照明用LED模块  性能要求</w:t>
      </w:r>
    </w:p>
    <w:p w14:paraId="7DF5E91E">
      <w:pPr>
        <w:widowControl/>
        <w:autoSpaceDE w:val="0"/>
        <w:autoSpaceDN w:val="0"/>
        <w:adjustRightInd/>
        <w:spacing w:line="240" w:lineRule="auto"/>
        <w:ind w:left="420"/>
        <w:rPr>
          <w:rFonts w:ascii="Times New Roman" w:hAnsi="Times New Roman"/>
        </w:rPr>
      </w:pPr>
      <w:r>
        <w:rPr>
          <w:rFonts w:ascii="Times New Roman" w:hAnsi="Times New Roman"/>
        </w:rPr>
        <w:t>GB/T 24825-2022  LED模块用直流或交流电子控制装置  性能要求</w:t>
      </w:r>
    </w:p>
    <w:p w14:paraId="43AB0AC7">
      <w:pPr>
        <w:widowControl/>
        <w:autoSpaceDE w:val="0"/>
        <w:autoSpaceDN w:val="0"/>
        <w:adjustRightInd/>
        <w:spacing w:line="240" w:lineRule="auto"/>
        <w:ind w:left="420"/>
        <w:rPr>
          <w:rFonts w:ascii="Times New Roman" w:hAnsi="Times New Roman"/>
        </w:rPr>
      </w:pPr>
      <w:r>
        <w:rPr>
          <w:rFonts w:ascii="Times New Roman" w:hAnsi="Times New Roman"/>
        </w:rPr>
        <w:t>GB/T 33721-2017  LED灯具可靠性试验方法</w:t>
      </w:r>
    </w:p>
    <w:p w14:paraId="255E0E53">
      <w:pPr>
        <w:widowControl/>
        <w:autoSpaceDE w:val="0"/>
        <w:autoSpaceDN w:val="0"/>
        <w:adjustRightInd/>
        <w:spacing w:line="240" w:lineRule="auto"/>
        <w:ind w:left="420"/>
        <w:rPr>
          <w:rFonts w:ascii="Times New Roman" w:hAnsi="Times New Roman"/>
        </w:rPr>
      </w:pPr>
      <w:r>
        <w:rPr>
          <w:rFonts w:ascii="Times New Roman" w:hAnsi="Times New Roman"/>
        </w:rPr>
        <w:t>GB/T 36876-2018  中小学校普通教室照明设计安装卫生要求</w:t>
      </w:r>
    </w:p>
    <w:p w14:paraId="7931395B">
      <w:pPr>
        <w:widowControl/>
        <w:autoSpaceDE w:val="0"/>
        <w:autoSpaceDN w:val="0"/>
        <w:adjustRightInd/>
        <w:spacing w:line="240" w:lineRule="auto"/>
        <w:ind w:left="420"/>
        <w:rPr>
          <w:rFonts w:ascii="Times New Roman" w:hAnsi="Times New Roman"/>
        </w:rPr>
      </w:pPr>
      <w:r>
        <w:rPr>
          <w:rFonts w:ascii="Times New Roman" w:hAnsi="Times New Roman"/>
        </w:rPr>
        <w:t>GB/Z 39942-2021 应用GB/T 20145评价光源和灯具的蓝光危害</w:t>
      </w:r>
    </w:p>
    <w:p w14:paraId="67846CF2">
      <w:pPr>
        <w:widowControl/>
        <w:autoSpaceDE w:val="0"/>
        <w:autoSpaceDN w:val="0"/>
        <w:adjustRightInd/>
        <w:spacing w:line="240" w:lineRule="auto"/>
        <w:ind w:left="420"/>
        <w:rPr>
          <w:rFonts w:ascii="Times New Roman" w:hAnsi="Times New Roman"/>
        </w:rPr>
      </w:pPr>
      <w:r>
        <w:rPr>
          <w:rFonts w:ascii="Times New Roman" w:hAnsi="Times New Roman"/>
        </w:rPr>
        <w:t>GB 40070</w:t>
      </w:r>
      <w:r>
        <w:rPr>
          <w:rFonts w:hint="eastAsia" w:ascii="Times New Roman" w:hAnsi="Times New Roman"/>
        </w:rPr>
        <w:t>-</w:t>
      </w:r>
      <w:r>
        <w:rPr>
          <w:rFonts w:ascii="Times New Roman" w:hAnsi="Times New Roman"/>
        </w:rPr>
        <w:t>2021  儿童青少年学习用品近视防控卫生要求</w:t>
      </w:r>
    </w:p>
    <w:p w14:paraId="47418136">
      <w:pPr>
        <w:widowControl/>
        <w:autoSpaceDE w:val="0"/>
        <w:autoSpaceDN w:val="0"/>
        <w:adjustRightInd/>
        <w:spacing w:line="240" w:lineRule="auto"/>
        <w:ind w:left="420"/>
        <w:rPr>
          <w:rFonts w:ascii="Times New Roman" w:hAnsi="Times New Roman"/>
        </w:rPr>
      </w:pPr>
      <w:r>
        <w:rPr>
          <w:rFonts w:ascii="Times New Roman" w:hAnsi="Times New Roman"/>
        </w:rPr>
        <w:t>GB/T 50034-2024  建筑照明设计标准</w:t>
      </w:r>
    </w:p>
    <w:p w14:paraId="0343CCD4">
      <w:pPr>
        <w:widowControl/>
        <w:autoSpaceDE w:val="0"/>
        <w:autoSpaceDN w:val="0"/>
        <w:adjustRightInd/>
        <w:spacing w:line="240" w:lineRule="auto"/>
        <w:ind w:left="420"/>
        <w:rPr>
          <w:rFonts w:ascii="Times New Roman" w:hAnsi="Times New Roman"/>
        </w:rPr>
      </w:pPr>
      <w:r>
        <w:rPr>
          <w:rFonts w:ascii="Times New Roman" w:hAnsi="Times New Roman"/>
        </w:rPr>
        <w:t>JGJ/T 119-2008  建筑照明术语标准</w:t>
      </w:r>
    </w:p>
    <w:p w14:paraId="7F1B5FED">
      <w:pPr>
        <w:widowControl/>
        <w:autoSpaceDE w:val="0"/>
        <w:autoSpaceDN w:val="0"/>
        <w:adjustRightInd/>
        <w:spacing w:line="240" w:lineRule="auto"/>
        <w:ind w:firstLine="420" w:firstLineChars="200"/>
        <w:rPr>
          <w:rFonts w:hint="eastAsia" w:ascii="宋体" w:hAnsi="宋体" w:cs="宋体"/>
          <w:kern w:val="0"/>
          <w:szCs w:val="20"/>
        </w:rPr>
      </w:pPr>
      <w:r>
        <w:rPr>
          <w:rFonts w:ascii="Times New Roman" w:hAnsi="Times New Roman"/>
        </w:rPr>
        <w:t>IEEE Std 1789 IEEE推荐的高光LED减少使用者健康风险调制电流方法 (IEEE Recommended Practices for Modulating Current in High-Brightness LEDs for Mitigating Health Risks to Viewers)</w:t>
      </w:r>
    </w:p>
    <w:p w14:paraId="18BB928E">
      <w:pPr>
        <w:pStyle w:val="107"/>
        <w:spacing w:before="240" w:after="240"/>
      </w:pPr>
      <w:bookmarkStart w:id="26" w:name="_Toc22495"/>
      <w:bookmarkStart w:id="27" w:name="_Toc97192966"/>
      <w:r>
        <w:rPr>
          <w:rFonts w:hint="eastAsia"/>
          <w:szCs w:val="21"/>
        </w:rPr>
        <w:t>术语和定义</w:t>
      </w:r>
      <w:bookmarkEnd w:id="26"/>
      <w:bookmarkEnd w:id="27"/>
    </w:p>
    <w:sdt>
      <w:sdtPr>
        <w:rPr>
          <w:rFonts w:ascii="Times New Roman"/>
        </w:rPr>
        <w:id w:val="-1909835108"/>
        <w:placeholder>
          <w:docPart w:val="DFEEBF1960CE4A83A5D8BCF92ECBFE9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ascii="Times New Roman"/>
        </w:rPr>
      </w:sdtEndPr>
      <w:sdtContent>
        <w:p w14:paraId="50C2CA80">
          <w:pPr>
            <w:pStyle w:val="59"/>
            <w:ind w:firstLine="420"/>
            <w:rPr>
              <w:rFonts w:ascii="Times New Roman"/>
            </w:rPr>
          </w:pPr>
          <w:bookmarkStart w:id="28" w:name="_Toc26986532"/>
          <w:bookmarkEnd w:id="28"/>
          <w:r>
            <w:rPr>
              <w:rFonts w:ascii="Times New Roman"/>
            </w:rPr>
            <w:t>GB/T 2900.65《电工术语 照明》、GB/T 50034-2024、JGJ/T 119-2008界定的以及下列术语和定义适用于本文件。</w:t>
          </w:r>
        </w:p>
      </w:sdtContent>
    </w:sdt>
    <w:p w14:paraId="5ABC2BD4">
      <w:pPr>
        <w:pStyle w:val="108"/>
        <w:spacing w:before="120" w:after="120"/>
      </w:pPr>
      <w:bookmarkStart w:id="29" w:name="_Toc17234"/>
      <w:bookmarkEnd w:id="29"/>
    </w:p>
    <w:p w14:paraId="1215D19E">
      <w:pPr>
        <w:pStyle w:val="226"/>
        <w:numPr>
          <w:ilvl w:val="0"/>
          <w:numId w:val="0"/>
        </w:numPr>
        <w:ind w:left="420"/>
        <w:rPr>
          <w:rFonts w:ascii="Times New Roman"/>
        </w:rPr>
      </w:pPr>
      <w:bookmarkStart w:id="30" w:name="_Toc8738"/>
      <w:bookmarkStart w:id="31" w:name="_Toc18609"/>
      <w:bookmarkStart w:id="32" w:name="_Toc21922"/>
      <w:bookmarkStart w:id="33" w:name="_Toc3867"/>
      <w:bookmarkStart w:id="34" w:name="_Toc13411"/>
      <w:bookmarkStart w:id="35" w:name="_Toc4777"/>
      <w:bookmarkStart w:id="36" w:name="_Toc16637"/>
      <w:bookmarkStart w:id="37" w:name="_Toc5642"/>
      <w:bookmarkStart w:id="38" w:name="_Toc26778"/>
      <w:bookmarkStart w:id="39" w:name="_Toc25296"/>
      <w:bookmarkStart w:id="40" w:name="_Toc14943"/>
      <w:bookmarkStart w:id="41" w:name="_Toc5782"/>
      <w:bookmarkStart w:id="42" w:name="_Toc21277"/>
      <w:r>
        <w:rPr>
          <w:rFonts w:hint="eastAsia" w:ascii="黑体" w:hAnsi="黑体" w:eastAsia="黑体"/>
        </w:rPr>
        <w:t>灯具效率</w:t>
      </w:r>
      <w:r>
        <w:rPr>
          <w:rFonts w:hint="eastAsia" w:ascii="Times New Roman"/>
        </w:rPr>
        <w:t xml:space="preserve">  </w:t>
      </w:r>
      <w:bookmarkEnd w:id="30"/>
      <w:bookmarkEnd w:id="31"/>
      <w:bookmarkEnd w:id="32"/>
      <w:bookmarkEnd w:id="33"/>
      <w:bookmarkEnd w:id="34"/>
      <w:bookmarkEnd w:id="35"/>
      <w:bookmarkEnd w:id="36"/>
      <w:bookmarkEnd w:id="37"/>
      <w:bookmarkEnd w:id="38"/>
      <w:bookmarkEnd w:id="39"/>
      <w:bookmarkEnd w:id="40"/>
      <w:bookmarkEnd w:id="41"/>
      <w:bookmarkEnd w:id="42"/>
      <w:r>
        <w:rPr>
          <w:rFonts w:hint="eastAsia" w:ascii="Times New Roman" w:eastAsia="黑体"/>
          <w:b/>
          <w:bCs/>
        </w:rPr>
        <w:t>luminaire efficiency</w:t>
      </w:r>
    </w:p>
    <w:p w14:paraId="6B8CE270">
      <w:pPr>
        <w:pStyle w:val="59"/>
        <w:ind w:firstLine="420"/>
        <w:rPr>
          <w:rFonts w:ascii="Times New Roman" w:hAnsi="Calibri"/>
          <w:color w:val="000000"/>
          <w:kern w:val="2"/>
          <w:szCs w:val="22"/>
        </w:rPr>
      </w:pPr>
      <w:r>
        <w:rPr>
          <w:rFonts w:hint="eastAsia" w:ascii="Times New Roman" w:hAnsi="Calibri"/>
          <w:color w:val="000000"/>
          <w:kern w:val="2"/>
          <w:szCs w:val="22"/>
        </w:rPr>
        <w:t>在规定的使用条件下，灯具发出的总光通量与灯具内所有光源发出的总光通量之比，也称灯具光输出比。</w:t>
      </w:r>
    </w:p>
    <w:p w14:paraId="62172213">
      <w:pPr>
        <w:pStyle w:val="59"/>
        <w:ind w:firstLine="420"/>
        <w:rPr>
          <w:rFonts w:ascii="Times New Roman"/>
          <w:szCs w:val="22"/>
        </w:rPr>
      </w:pPr>
      <w:r>
        <w:rPr>
          <w:rFonts w:ascii="Times New Roman"/>
          <w:szCs w:val="22"/>
        </w:rPr>
        <w:t>[来源：GB/T 50034-2024，2.0.36]</w:t>
      </w:r>
    </w:p>
    <w:p w14:paraId="42C89740">
      <w:pPr>
        <w:pStyle w:val="108"/>
        <w:spacing w:before="120" w:after="120"/>
      </w:pPr>
      <w:bookmarkStart w:id="43" w:name="_Toc171497955"/>
      <w:bookmarkEnd w:id="43"/>
      <w:bookmarkStart w:id="44" w:name="_Toc551"/>
      <w:bookmarkEnd w:id="44"/>
      <w:bookmarkStart w:id="45" w:name="_Toc2518"/>
      <w:bookmarkStart w:id="46" w:name="_Toc13661"/>
      <w:bookmarkStart w:id="47" w:name="_Toc21067"/>
      <w:bookmarkStart w:id="48" w:name="_Toc11875"/>
      <w:bookmarkStart w:id="49" w:name="_Toc27142"/>
      <w:bookmarkStart w:id="50" w:name="_Toc6087"/>
      <w:bookmarkStart w:id="51" w:name="_Toc22995"/>
      <w:bookmarkStart w:id="52" w:name="_Toc22902"/>
      <w:bookmarkStart w:id="53" w:name="_Toc2502"/>
      <w:bookmarkStart w:id="54" w:name="_Toc7765"/>
      <w:bookmarkStart w:id="55" w:name="_Toc5858"/>
      <w:bookmarkStart w:id="56" w:name="_Toc8019"/>
      <w:bookmarkStart w:id="57" w:name="_Toc9503"/>
    </w:p>
    <w:p w14:paraId="404E24E1">
      <w:pPr>
        <w:pStyle w:val="226"/>
        <w:numPr>
          <w:ilvl w:val="0"/>
          <w:numId w:val="0"/>
        </w:numPr>
        <w:ind w:left="420"/>
        <w:rPr>
          <w:rFonts w:hint="eastAsia" w:ascii="黑体" w:hAnsi="黑体" w:eastAsia="黑体"/>
        </w:rPr>
      </w:pPr>
      <w:r>
        <w:rPr>
          <w:rFonts w:hint="eastAsia" w:ascii="黑体" w:hAnsi="黑体" w:eastAsia="黑体"/>
        </w:rPr>
        <w:t xml:space="preserve">灯具效能 </w:t>
      </w:r>
      <w:r>
        <w:rPr>
          <w:rFonts w:ascii="黑体" w:hAnsi="黑体" w:eastAsia="黑体"/>
        </w:rPr>
        <w:t xml:space="preserve"> </w:t>
      </w:r>
      <w:bookmarkEnd w:id="45"/>
      <w:bookmarkEnd w:id="46"/>
      <w:bookmarkEnd w:id="47"/>
      <w:bookmarkEnd w:id="48"/>
      <w:bookmarkEnd w:id="49"/>
      <w:bookmarkEnd w:id="50"/>
      <w:bookmarkEnd w:id="51"/>
      <w:bookmarkEnd w:id="52"/>
      <w:bookmarkEnd w:id="53"/>
      <w:bookmarkEnd w:id="54"/>
      <w:r>
        <w:rPr>
          <w:rFonts w:hint="eastAsia" w:ascii="Times New Roman" w:eastAsia="黑体"/>
          <w:b/>
          <w:bCs/>
        </w:rPr>
        <w:t>luminaire efficacy</w:t>
      </w:r>
    </w:p>
    <w:p w14:paraId="59F55AB5">
      <w:pPr>
        <w:pStyle w:val="226"/>
        <w:numPr>
          <w:ilvl w:val="0"/>
          <w:numId w:val="0"/>
        </w:numPr>
        <w:ind w:left="420"/>
        <w:rPr>
          <w:rFonts w:ascii="Times New Roman"/>
        </w:rPr>
      </w:pPr>
      <w:r>
        <w:rPr>
          <w:rFonts w:ascii="Times New Roman"/>
        </w:rPr>
        <w:t>在规定的使用条件下，灯具（光源）发出的总光通量与其所消耗的功率之比，单位为lm/W。</w:t>
      </w:r>
    </w:p>
    <w:p w14:paraId="7620CF48">
      <w:pPr>
        <w:pStyle w:val="59"/>
        <w:ind w:firstLine="420"/>
        <w:rPr>
          <w:rFonts w:ascii="Times New Roman"/>
          <w:szCs w:val="22"/>
        </w:rPr>
      </w:pPr>
      <w:r>
        <w:rPr>
          <w:rFonts w:ascii="Times New Roman"/>
          <w:szCs w:val="22"/>
        </w:rPr>
        <w:t>[来源：GB/T 50034-2024，2.0.37]</w:t>
      </w:r>
    </w:p>
    <w:bookmarkEnd w:id="55"/>
    <w:bookmarkEnd w:id="56"/>
    <w:bookmarkEnd w:id="57"/>
    <w:p w14:paraId="5D6A1E8C">
      <w:pPr>
        <w:pStyle w:val="108"/>
        <w:spacing w:before="120" w:after="120"/>
      </w:pPr>
      <w:bookmarkStart w:id="58" w:name="_Toc5943"/>
      <w:bookmarkEnd w:id="58"/>
      <w:bookmarkStart w:id="59" w:name="_Toc171497956"/>
      <w:bookmarkEnd w:id="59"/>
      <w:bookmarkStart w:id="60" w:name="_Toc26110"/>
      <w:bookmarkEnd w:id="60"/>
      <w:bookmarkStart w:id="61" w:name="_Toc29905"/>
      <w:bookmarkEnd w:id="61"/>
      <w:bookmarkStart w:id="62" w:name="_Toc27351"/>
      <w:bookmarkEnd w:id="62"/>
      <w:bookmarkStart w:id="63" w:name="_Toc20372"/>
      <w:bookmarkEnd w:id="63"/>
      <w:bookmarkStart w:id="64" w:name="_Toc12460"/>
      <w:bookmarkEnd w:id="64"/>
      <w:bookmarkStart w:id="65" w:name="_Toc27956"/>
      <w:bookmarkStart w:id="66" w:name="_Toc28175"/>
      <w:bookmarkStart w:id="67" w:name="_Toc30790"/>
      <w:bookmarkStart w:id="68" w:name="_Toc30859"/>
      <w:bookmarkStart w:id="69" w:name="_Toc4612"/>
      <w:bookmarkStart w:id="70" w:name="_Toc14319"/>
      <w:bookmarkStart w:id="71" w:name="_Toc17694"/>
      <w:bookmarkStart w:id="72" w:name="_Toc12829"/>
      <w:bookmarkStart w:id="73" w:name="_Toc15620"/>
      <w:bookmarkStart w:id="74" w:name="_Toc30997"/>
      <w:bookmarkStart w:id="75" w:name="_Toc2821"/>
      <w:bookmarkStart w:id="76" w:name="_Toc15330"/>
      <w:bookmarkStart w:id="77" w:name="_Toc9813"/>
      <w:bookmarkStart w:id="78" w:name="_Toc15592"/>
      <w:bookmarkStart w:id="79" w:name="_Toc16222"/>
      <w:bookmarkStart w:id="80" w:name="_Toc26002"/>
    </w:p>
    <w:bookmarkEnd w:id="65"/>
    <w:p w14:paraId="64F21C1D">
      <w:pPr>
        <w:pStyle w:val="226"/>
        <w:numPr>
          <w:ilvl w:val="0"/>
          <w:numId w:val="0"/>
        </w:numPr>
        <w:ind w:left="420"/>
        <w:rPr>
          <w:rFonts w:hint="eastAsia" w:ascii="黑体" w:hAnsi="黑体" w:eastAsia="黑体"/>
        </w:rPr>
      </w:pPr>
      <w:r>
        <w:rPr>
          <w:rFonts w:hint="eastAsia" w:ascii="黑体" w:hAnsi="黑体" w:eastAsia="黑体"/>
        </w:rPr>
        <w:t xml:space="preserve">波动深度 </w:t>
      </w:r>
      <w:bookmarkEnd w:id="66"/>
      <w:r>
        <w:rPr>
          <w:rFonts w:hint="eastAsia" w:ascii="黑体" w:hAnsi="黑体" w:eastAsia="黑体"/>
        </w:rPr>
        <w:t xml:space="preserve"> </w:t>
      </w:r>
      <w:bookmarkEnd w:id="67"/>
      <w:bookmarkEnd w:id="68"/>
      <w:bookmarkEnd w:id="69"/>
      <w:bookmarkEnd w:id="70"/>
      <w:bookmarkEnd w:id="71"/>
      <w:bookmarkEnd w:id="72"/>
      <w:bookmarkEnd w:id="73"/>
      <w:bookmarkEnd w:id="74"/>
      <w:bookmarkEnd w:id="75"/>
      <w:bookmarkEnd w:id="76"/>
      <w:bookmarkEnd w:id="77"/>
      <w:bookmarkEnd w:id="78"/>
      <w:bookmarkEnd w:id="79"/>
      <w:bookmarkEnd w:id="80"/>
      <w:r>
        <w:rPr>
          <w:rFonts w:hint="eastAsia" w:ascii="Times New Roman" w:eastAsia="黑体"/>
          <w:b/>
          <w:bCs/>
        </w:rPr>
        <w:t>fluctuation depth</w:t>
      </w:r>
    </w:p>
    <w:p w14:paraId="3B90A9D7">
      <w:pPr>
        <w:pStyle w:val="226"/>
        <w:numPr>
          <w:ilvl w:val="0"/>
          <w:numId w:val="0"/>
        </w:numPr>
        <w:ind w:left="420"/>
        <w:rPr>
          <w:rFonts w:ascii="Times New Roman"/>
        </w:rPr>
      </w:pPr>
      <w:r>
        <w:rPr>
          <w:rFonts w:ascii="Times New Roman"/>
        </w:rPr>
        <w:t>光输出一个周期的最大值和最小值的差与光输出最大值和最小值之和的比，以百分比表示，见式（1）：</w:t>
      </w:r>
    </w:p>
    <w:p w14:paraId="173B84D8">
      <w:pPr>
        <w:pStyle w:val="116"/>
        <w:rPr>
          <w:rFonts w:hint="eastAsia"/>
        </w:rPr>
      </w:pPr>
      <w:r>
        <w:tab/>
      </w:r>
      <w:r>
        <w:rPr>
          <w:iCs/>
          <w:position w:val="-10"/>
        </w:rPr>
        <w:object>
          <v:shape id="_x0000_i1025" o:spt="75" type="#_x0000_t75" style="height:16.8pt;width:147pt;" o:ole="t" filled="f" o:preferrelative="t" stroked="f" coordsize="21600,21600">
            <v:path/>
            <v:fill on="f" focussize="0,0"/>
            <v:stroke on="f" joinstyle="miter"/>
            <v:imagedata r:id="rId23" o:title=""/>
            <o:lock v:ext="edit" aspectratio="t"/>
            <w10:wrap type="none"/>
            <w10:anchorlock/>
          </v:shape>
          <o:OLEObject Type="Embed" ProgID="Equation.3" ShapeID="_x0000_i1025" DrawAspect="Content" ObjectID="_1468075725" r:id="rId22">
            <o:LockedField>false</o:LockedField>
          </o:OLEObject>
        </w:object>
      </w:r>
      <w:r>
        <w:rPr>
          <w:rFonts w:ascii="微软雅黑" w:eastAsia="微软雅黑"/>
        </w:rPr>
        <w:tab/>
      </w:r>
      <w:r>
        <w:rPr>
          <w:rFonts w:ascii="Times New Roman" w:hAnsi="Times New Roman"/>
        </w:rPr>
        <w:t>(</w:t>
      </w:r>
      <w:r>
        <w:rPr>
          <w:rFonts w:ascii="Times New Roman" w:hAnsi="Times New Roman"/>
        </w:rPr>
        <w:fldChar w:fldCharType="begin"/>
      </w:r>
      <w:r>
        <w:rPr>
          <w:rFonts w:ascii="Times New Roman" w:hAnsi="Times New Roman"/>
        </w:rPr>
        <w:instrText xml:space="preserve"> AUTONUM </w:instrText>
      </w:r>
      <w:r>
        <w:rPr>
          <w:rFonts w:ascii="Times New Roman" w:hAnsi="Times New Roman"/>
        </w:rPr>
        <w:fldChar w:fldCharType="end"/>
      </w:r>
      <w:r>
        <w:rPr>
          <w:rFonts w:ascii="Times New Roman" w:hAnsi="Times New Roman"/>
        </w:rPr>
        <w:t>)</w:t>
      </w:r>
    </w:p>
    <w:p w14:paraId="7F8845B8">
      <w:pPr>
        <w:pStyle w:val="58"/>
        <w:ind w:firstLine="420"/>
        <w:rPr>
          <w:rFonts w:ascii="Times New Roman" w:hAnsi="Times New Roman"/>
        </w:rPr>
      </w:pPr>
      <w:r>
        <w:rPr>
          <w:rFonts w:ascii="Times New Roman" w:hAnsi="Times New Roman"/>
        </w:rPr>
        <w:t>式中：</w:t>
      </w:r>
    </w:p>
    <w:p w14:paraId="4E466AAF">
      <w:pPr>
        <w:pStyle w:val="59"/>
        <w:ind w:firstLine="420"/>
        <w:rPr>
          <w:rFonts w:ascii="Times New Roman"/>
          <w:szCs w:val="21"/>
        </w:rPr>
      </w:pPr>
      <w:r>
        <w:rPr>
          <w:rFonts w:ascii="Times New Roman"/>
          <w:szCs w:val="21"/>
        </w:rPr>
        <w:t>FPF——波动深度；</w:t>
      </w:r>
    </w:p>
    <w:p w14:paraId="7D1A4E0F">
      <w:pPr>
        <w:pStyle w:val="59"/>
        <w:ind w:firstLine="420"/>
        <w:rPr>
          <w:rFonts w:ascii="Times New Roman"/>
          <w:szCs w:val="21"/>
        </w:rPr>
      </w:pPr>
      <w:r>
        <w:rPr>
          <w:rFonts w:ascii="Times New Roman"/>
          <w:iCs/>
          <w:szCs w:val="21"/>
        </w:rPr>
        <w:t>A——</w:t>
      </w:r>
      <w:r>
        <w:rPr>
          <w:rFonts w:ascii="Times New Roman"/>
          <w:szCs w:val="21"/>
        </w:rPr>
        <w:t>在一个波动周期内光输出的最大值；</w:t>
      </w:r>
    </w:p>
    <w:p w14:paraId="354D268E">
      <w:pPr>
        <w:pStyle w:val="59"/>
        <w:ind w:left="420" w:leftChars="200" w:firstLine="0" w:firstLineChars="0"/>
        <w:rPr>
          <w:rFonts w:hint="eastAsia" w:ascii="Times New Roman" w:eastAsia="黑体"/>
        </w:rPr>
      </w:pPr>
      <w:r>
        <w:rPr>
          <w:rFonts w:ascii="Times New Roman"/>
          <w:iCs/>
          <w:szCs w:val="21"/>
        </w:rPr>
        <w:t>B——</w:t>
      </w:r>
      <w:r>
        <w:rPr>
          <w:rFonts w:ascii="Times New Roman"/>
          <w:szCs w:val="21"/>
        </w:rPr>
        <w:t>在一个波动周期内光输出的最小值。</w:t>
      </w:r>
    </w:p>
    <w:p w14:paraId="7CA5DCD1">
      <w:pPr>
        <w:pStyle w:val="108"/>
        <w:spacing w:before="120" w:after="120"/>
      </w:pPr>
      <w:bookmarkStart w:id="81" w:name="_Toc4257"/>
      <w:bookmarkEnd w:id="81"/>
      <w:bookmarkStart w:id="82" w:name="_Toc30958"/>
      <w:bookmarkEnd w:id="82"/>
      <w:bookmarkStart w:id="83" w:name="_Toc22489"/>
      <w:bookmarkEnd w:id="83"/>
      <w:bookmarkStart w:id="84" w:name="_Toc741"/>
      <w:bookmarkEnd w:id="84"/>
      <w:bookmarkStart w:id="85" w:name="_Toc171497957"/>
      <w:bookmarkEnd w:id="85"/>
      <w:bookmarkStart w:id="86" w:name="_Toc23462"/>
      <w:bookmarkEnd w:id="86"/>
      <w:bookmarkStart w:id="87" w:name="_Toc14150"/>
      <w:bookmarkEnd w:id="87"/>
      <w:bookmarkStart w:id="88" w:name="_Toc1692"/>
      <w:bookmarkStart w:id="89" w:name="_Toc18704"/>
      <w:bookmarkStart w:id="90" w:name="_Toc3511"/>
      <w:bookmarkStart w:id="91" w:name="_Toc31919"/>
      <w:bookmarkStart w:id="92" w:name="_Toc28809"/>
      <w:bookmarkStart w:id="93" w:name="_Toc4207"/>
      <w:bookmarkStart w:id="94" w:name="_Toc4834"/>
      <w:bookmarkStart w:id="95" w:name="_Toc15390"/>
      <w:bookmarkStart w:id="96" w:name="_Toc26657"/>
      <w:bookmarkStart w:id="97" w:name="_Toc2735"/>
      <w:bookmarkStart w:id="98" w:name="_Toc30426"/>
      <w:bookmarkStart w:id="99" w:name="_Toc32710"/>
      <w:bookmarkStart w:id="100" w:name="_Toc5169"/>
      <w:bookmarkStart w:id="101" w:name="_Toc9301"/>
      <w:bookmarkStart w:id="102" w:name="_Toc27949"/>
    </w:p>
    <w:bookmarkEnd w:id="88"/>
    <w:p w14:paraId="379EDA7E">
      <w:pPr>
        <w:pStyle w:val="226"/>
        <w:numPr>
          <w:ilvl w:val="0"/>
          <w:numId w:val="0"/>
        </w:numPr>
        <w:ind w:left="420"/>
        <w:rPr>
          <w:rFonts w:ascii="Times New Roman" w:eastAsia="黑体"/>
        </w:rPr>
      </w:pPr>
      <w:r>
        <w:rPr>
          <w:rFonts w:hint="eastAsia" w:ascii="黑体" w:hAnsi="黑体" w:eastAsia="黑体"/>
          <w:color w:val="000000"/>
        </w:rPr>
        <w:t>显色指数</w:t>
      </w:r>
      <w:r>
        <w:rPr>
          <w:rFonts w:hint="eastAsia" w:ascii="黑体" w:hAnsi="黑体" w:eastAsia="黑体"/>
        </w:rPr>
        <w:t xml:space="preserve"> </w:t>
      </w:r>
      <w:r>
        <w:rPr>
          <w:rFonts w:ascii="Times New Roman" w:eastAsia="黑体"/>
        </w:rPr>
        <w:t xml:space="preserve"> </w:t>
      </w:r>
      <w:bookmarkEnd w:id="89"/>
      <w:bookmarkEnd w:id="90"/>
      <w:bookmarkEnd w:id="91"/>
      <w:bookmarkEnd w:id="92"/>
      <w:bookmarkEnd w:id="93"/>
      <w:bookmarkEnd w:id="94"/>
      <w:bookmarkEnd w:id="95"/>
      <w:bookmarkEnd w:id="96"/>
      <w:bookmarkEnd w:id="97"/>
      <w:bookmarkEnd w:id="98"/>
      <w:bookmarkEnd w:id="99"/>
      <w:bookmarkEnd w:id="100"/>
      <w:bookmarkEnd w:id="101"/>
      <w:bookmarkEnd w:id="102"/>
      <w:r>
        <w:rPr>
          <w:rFonts w:hint="eastAsia" w:ascii="Times New Roman" w:eastAsia="黑体"/>
          <w:b/>
          <w:bCs/>
        </w:rPr>
        <w:t>colour rendering index</w:t>
      </w:r>
    </w:p>
    <w:p w14:paraId="78A81319">
      <w:pPr>
        <w:pStyle w:val="226"/>
        <w:numPr>
          <w:ilvl w:val="0"/>
          <w:numId w:val="0"/>
        </w:numPr>
        <w:ind w:firstLine="420" w:firstLineChars="200"/>
        <w:rPr>
          <w:rFonts w:ascii="Times New Roman"/>
        </w:rPr>
      </w:pPr>
      <w:r>
        <w:rPr>
          <w:rFonts w:ascii="Times New Roman"/>
        </w:rPr>
        <w:t>光源显色性的度量。以被测光源下物体颜色和参考标准光源下物体颜色的相符合程度来表示。光源对国际照明委员会（CIE）规定的八种标准颜色样品显色指数的平均值称为CIE一般显色指数，本文件中未作特别说明的显色指数指的即CIE一般显色指数，该量的符号为Ra；标准中显色指数R9-R15为特殊显色指数。</w:t>
      </w:r>
    </w:p>
    <w:p w14:paraId="4BC6FA95">
      <w:pPr>
        <w:pStyle w:val="59"/>
        <w:ind w:firstLine="420"/>
        <w:rPr>
          <w:rFonts w:ascii="Times New Roman"/>
          <w:szCs w:val="22"/>
        </w:rPr>
      </w:pPr>
      <w:r>
        <w:rPr>
          <w:rFonts w:ascii="Times New Roman"/>
          <w:szCs w:val="22"/>
        </w:rPr>
        <w:t>[来源：JGJ/T 119-2008，2.3.29和2.3.30，有修改]</w:t>
      </w:r>
    </w:p>
    <w:p w14:paraId="66DBA303">
      <w:pPr>
        <w:pStyle w:val="108"/>
        <w:spacing w:before="120" w:after="120"/>
      </w:pPr>
      <w:bookmarkStart w:id="103" w:name="_Toc26811"/>
      <w:bookmarkEnd w:id="103"/>
    </w:p>
    <w:p w14:paraId="13F4274B">
      <w:pPr>
        <w:pStyle w:val="226"/>
        <w:numPr>
          <w:ilvl w:val="255"/>
          <w:numId w:val="0"/>
        </w:numPr>
        <w:ind w:left="-420" w:leftChars="-200" w:firstLine="840" w:firstLineChars="400"/>
        <w:rPr>
          <w:rFonts w:hint="eastAsia" w:ascii="黑体" w:hAnsi="黑体" w:eastAsia="黑体"/>
        </w:rPr>
      </w:pPr>
      <w:r>
        <w:rPr>
          <w:rFonts w:hint="eastAsia" w:ascii="黑体" w:hAnsi="黑体" w:eastAsia="黑体"/>
          <w:color w:val="000000"/>
        </w:rPr>
        <w:t xml:space="preserve">初始值 </w:t>
      </w:r>
      <w:r>
        <w:rPr>
          <w:rFonts w:ascii="黑体" w:hAnsi="黑体" w:eastAsia="黑体"/>
          <w:color w:val="000000"/>
        </w:rPr>
        <w:t xml:space="preserve"> </w:t>
      </w:r>
      <w:r>
        <w:rPr>
          <w:rFonts w:hint="eastAsia" w:ascii="Times New Roman" w:eastAsia="黑体"/>
          <w:b/>
          <w:bCs/>
        </w:rPr>
        <w:t>initial value</w:t>
      </w:r>
    </w:p>
    <w:p w14:paraId="7D96E128">
      <w:pPr>
        <w:pStyle w:val="226"/>
        <w:numPr>
          <w:ilvl w:val="0"/>
          <w:numId w:val="0"/>
        </w:numPr>
        <w:ind w:firstLine="420" w:firstLineChars="200"/>
        <w:rPr>
          <w:rFonts w:hint="eastAsia" w:hAnsi="宋体"/>
        </w:rPr>
      </w:pPr>
      <w:r>
        <w:rPr>
          <w:rFonts w:hint="eastAsia" w:hAnsi="宋体"/>
          <w:lang w:eastAsia="zh-Hans"/>
        </w:rPr>
        <w:t>灯具</w:t>
      </w:r>
      <w:r>
        <w:rPr>
          <w:rFonts w:hint="eastAsia" w:hAnsi="宋体"/>
        </w:rPr>
        <w:t>老炼一定时间后稳定工作时的光、电、颜色等参数。</w:t>
      </w:r>
    </w:p>
    <w:p w14:paraId="418E5ABC">
      <w:pPr>
        <w:pStyle w:val="182"/>
        <w:rPr>
          <w:rFonts w:ascii="Times New Roman"/>
        </w:rPr>
      </w:pPr>
      <w:r>
        <w:rPr>
          <w:rFonts w:ascii="Times New Roman"/>
          <w:lang w:eastAsia="zh-Hans"/>
        </w:rPr>
        <w:t>对于LED灯具，老炼时间为0 h或按制造商声称。对荧光灯灯具，老炼时间为光源老炼100 h。</w:t>
      </w:r>
    </w:p>
    <w:p w14:paraId="232857C0">
      <w:pPr>
        <w:pStyle w:val="108"/>
        <w:spacing w:before="120" w:after="120"/>
      </w:pPr>
      <w:bookmarkStart w:id="104" w:name="_Toc10843"/>
      <w:bookmarkEnd w:id="104"/>
    </w:p>
    <w:p w14:paraId="55970522">
      <w:pPr>
        <w:pStyle w:val="59"/>
        <w:ind w:firstLine="420"/>
      </w:pPr>
      <w:r>
        <w:rPr>
          <w:rFonts w:ascii="黑体" w:hAnsi="黑体" w:eastAsia="黑体"/>
          <w:color w:val="000000"/>
        </w:rPr>
        <w:t>相关色温</w:t>
      </w:r>
      <w:r>
        <w:t xml:space="preserve">  </w:t>
      </w:r>
      <w:r>
        <w:rPr>
          <w:rFonts w:ascii="Times New Roman" w:eastAsia="黑体"/>
          <w:b/>
          <w:bCs/>
        </w:rPr>
        <w:t>correlated colour temperature</w:t>
      </w:r>
    </w:p>
    <w:p w14:paraId="668EB52B">
      <w:pPr>
        <w:pStyle w:val="226"/>
        <w:numPr>
          <w:ilvl w:val="0"/>
          <w:numId w:val="0"/>
        </w:numPr>
        <w:ind w:firstLine="420" w:firstLineChars="200"/>
        <w:rPr>
          <w:rFonts w:ascii="Times New Roman"/>
          <w:lang w:eastAsia="zh-Hans"/>
        </w:rPr>
      </w:pPr>
      <w:r>
        <w:rPr>
          <w:rFonts w:ascii="Times New Roman"/>
          <w:lang w:eastAsia="zh-Hans"/>
        </w:rPr>
        <w:t>当光源的色品点不在黑体轨迹上，且光源的色品与某一温度下的黑体的色品最接近时，该黑体的绝对温度下为此光源的相关色温，简称色温。单位为开（K）。</w:t>
      </w:r>
    </w:p>
    <w:p w14:paraId="37B3ACD1">
      <w:pPr>
        <w:pStyle w:val="59"/>
        <w:ind w:firstLine="420"/>
        <w:rPr>
          <w:rFonts w:ascii="Times New Roman"/>
          <w:szCs w:val="22"/>
        </w:rPr>
      </w:pPr>
      <w:r>
        <w:rPr>
          <w:rFonts w:ascii="Times New Roman"/>
          <w:szCs w:val="22"/>
        </w:rPr>
        <w:t>[来源：GB/T 50034-2024，2.0.56]</w:t>
      </w:r>
    </w:p>
    <w:p w14:paraId="0E38311E">
      <w:pPr>
        <w:pStyle w:val="108"/>
        <w:spacing w:before="120" w:after="120"/>
      </w:pPr>
      <w:bookmarkStart w:id="105" w:name="_Toc2505"/>
      <w:bookmarkEnd w:id="105"/>
    </w:p>
    <w:p w14:paraId="7E7C071E">
      <w:pPr>
        <w:pStyle w:val="59"/>
        <w:ind w:firstLine="420"/>
        <w:rPr>
          <w:rFonts w:ascii="Times New Roman"/>
          <w:szCs w:val="22"/>
        </w:rPr>
      </w:pPr>
      <w:r>
        <w:rPr>
          <w:rFonts w:ascii="黑体" w:eastAsia="黑体"/>
        </w:rPr>
        <w:t>眼部垂直照度</w:t>
      </w:r>
      <w:r>
        <w:rPr>
          <w:rFonts w:hint="eastAsia" w:ascii="黑体" w:eastAsia="黑体"/>
        </w:rPr>
        <w:t xml:space="preserve"> </w:t>
      </w:r>
      <w:r>
        <w:rPr>
          <w:rFonts w:ascii="Times New Roman"/>
          <w:szCs w:val="22"/>
        </w:rPr>
        <w:t xml:space="preserve"> </w:t>
      </w:r>
      <w:r>
        <w:rPr>
          <w:rFonts w:ascii="Times New Roman" w:eastAsia="黑体"/>
          <w:b/>
          <w:bCs/>
        </w:rPr>
        <w:t>eye-level vertical illuminance</w:t>
      </w:r>
    </w:p>
    <w:p w14:paraId="56277A7F">
      <w:pPr>
        <w:pStyle w:val="226"/>
        <w:numPr>
          <w:ilvl w:val="0"/>
          <w:numId w:val="0"/>
        </w:numPr>
        <w:ind w:firstLine="420" w:firstLineChars="200"/>
        <w:rPr>
          <w:rFonts w:ascii="Times New Roman"/>
          <w:lang w:eastAsia="zh-Hans"/>
        </w:rPr>
      </w:pPr>
      <w:r>
        <w:rPr>
          <w:rFonts w:ascii="Times New Roman"/>
          <w:lang w:eastAsia="zh-Hans"/>
        </w:rPr>
        <w:t>面向教室黑板方向坐视高度（1.2 m）处的垂直照度，反映了直接和间接光到达人眼的照度，单位为勒克斯（lx）。</w:t>
      </w:r>
    </w:p>
    <w:p w14:paraId="5B1C2B9E">
      <w:pPr>
        <w:pStyle w:val="108"/>
        <w:spacing w:before="120" w:after="120"/>
        <w:rPr>
          <w:lang w:eastAsia="zh-Hans"/>
        </w:rPr>
      </w:pPr>
      <w:bookmarkStart w:id="106" w:name="_Toc781"/>
      <w:bookmarkEnd w:id="106"/>
    </w:p>
    <w:p w14:paraId="79EA1DAB">
      <w:pPr>
        <w:pStyle w:val="226"/>
        <w:numPr>
          <w:ilvl w:val="255"/>
          <w:numId w:val="0"/>
        </w:numPr>
        <w:ind w:left="-420" w:leftChars="-200" w:firstLine="840" w:firstLineChars="400"/>
        <w:rPr>
          <w:rFonts w:hint="eastAsia" w:ascii="黑体" w:hAnsi="黑体" w:eastAsia="黑体"/>
        </w:rPr>
      </w:pPr>
      <w:r>
        <w:rPr>
          <w:rFonts w:hint="eastAsia" w:ascii="黑体" w:eastAsia="黑体"/>
        </w:rPr>
        <w:t>照度</w:t>
      </w:r>
      <w:r>
        <w:rPr>
          <w:rFonts w:hint="eastAsia" w:ascii="黑体" w:hAnsi="黑体" w:eastAsia="黑体"/>
          <w:color w:val="000000"/>
        </w:rPr>
        <w:t xml:space="preserve"> </w:t>
      </w:r>
      <w:r>
        <w:rPr>
          <w:rFonts w:ascii="Times New Roman" w:eastAsia="黑体"/>
          <w:b/>
          <w:bCs/>
        </w:rPr>
        <w:t xml:space="preserve"> </w:t>
      </w:r>
      <w:r>
        <w:rPr>
          <w:rFonts w:hint="eastAsia" w:ascii="Times New Roman" w:eastAsia="黑体"/>
          <w:b/>
          <w:bCs/>
        </w:rPr>
        <w:t>illuminance</w:t>
      </w:r>
    </w:p>
    <w:p w14:paraId="37DBB2A6">
      <w:pPr>
        <w:pStyle w:val="59"/>
        <w:ind w:firstLine="420"/>
        <w:rPr>
          <w:rFonts w:ascii="Times New Roman"/>
          <w:lang w:eastAsia="zh-Hans"/>
        </w:rPr>
      </w:pPr>
      <w:r>
        <w:rPr>
          <w:rFonts w:hint="eastAsia" w:ascii="Times New Roman"/>
          <w:lang w:eastAsia="zh-Hans"/>
        </w:rPr>
        <w:t>入射在包含该点的面元上的光通量dΦ除以该面元面积dA所得之商，见式（2）：</w:t>
      </w:r>
    </w:p>
    <w:p w14:paraId="7C5A86A6">
      <w:pPr>
        <w:pStyle w:val="116"/>
        <w:rPr>
          <w:rFonts w:hint="eastAsia"/>
        </w:rPr>
      </w:pPr>
      <w:r>
        <w:tab/>
      </w:r>
      <w:r>
        <w:rPr>
          <w:position w:val="-24"/>
        </w:rPr>
        <w:object>
          <v:shape id="_x0000_i1026" o:spt="75" type="#_x0000_t75" style="height:30.6pt;width:42pt;" o:ole="t" filled="f" o:preferrelative="t" stroked="f" coordsize="21600,21600">
            <v:path/>
            <v:fill on="f" focussize="0,0"/>
            <v:stroke on="f" joinstyle="miter"/>
            <v:imagedata r:id="rId25" o:title=""/>
            <o:lock v:ext="edit" aspectratio="t"/>
            <w10:wrap type="none"/>
            <w10:anchorlock/>
          </v:shape>
          <o:OLEObject Type="Embed" ProgID="Equation.3" ShapeID="_x0000_i1026" DrawAspect="Content" ObjectID="_1468075726" r:id="rId24">
            <o:LockedField>false</o:LockedField>
          </o:OLEObject>
        </w:object>
      </w:r>
      <w:r>
        <w:rPr>
          <w:rFonts w:ascii="微软雅黑" w:hAnsi="微软雅黑" w:eastAsia="微软雅黑"/>
        </w:rPr>
        <w:tab/>
      </w:r>
      <w:r>
        <w:rPr>
          <w:rFonts w:ascii="Times New Roman" w:hAnsi="Times New Roman"/>
        </w:rPr>
        <w:t>(</w:t>
      </w:r>
      <w:r>
        <w:rPr>
          <w:rFonts w:hint="eastAsia" w:ascii="Times New Roman" w:hAnsi="Times New Roman"/>
        </w:rPr>
        <w:t>2</w:t>
      </w:r>
      <w:r>
        <w:rPr>
          <w:rFonts w:ascii="Times New Roman" w:hAnsi="Times New Roman"/>
        </w:rPr>
        <w:t>)</w:t>
      </w:r>
    </w:p>
    <w:p w14:paraId="5FFFE014">
      <w:pPr>
        <w:pStyle w:val="58"/>
        <w:ind w:firstLine="420"/>
      </w:pPr>
      <w:r>
        <w:rPr>
          <w:rFonts w:hint="eastAsia"/>
        </w:rPr>
        <w:t>式中：</w:t>
      </w:r>
    </w:p>
    <w:p w14:paraId="6C5B8108">
      <w:pPr>
        <w:pStyle w:val="59"/>
        <w:ind w:firstLine="420"/>
        <w:rPr>
          <w:rFonts w:ascii="Times New Roman"/>
        </w:rPr>
      </w:pPr>
      <w:r>
        <w:rPr>
          <w:rFonts w:ascii="Times New Roman"/>
          <w:iCs/>
        </w:rPr>
        <w:t>E</w:t>
      </w:r>
      <w:r>
        <w:rPr>
          <w:rFonts w:ascii="Times New Roman"/>
          <w:iCs/>
          <w:szCs w:val="21"/>
        </w:rPr>
        <w:t>——</w:t>
      </w:r>
      <w:r>
        <w:rPr>
          <w:rFonts w:ascii="Times New Roman"/>
        </w:rPr>
        <w:t>表示照度，单位为勒克斯（lx）；</w:t>
      </w:r>
    </w:p>
    <w:p w14:paraId="2A254862">
      <w:pPr>
        <w:pStyle w:val="59"/>
        <w:ind w:firstLine="420"/>
        <w:rPr>
          <w:rFonts w:ascii="Times New Roman"/>
        </w:rPr>
      </w:pPr>
      <w:r>
        <w:rPr>
          <w:rFonts w:ascii="Times New Roman"/>
        </w:rPr>
        <w:t>dΦ</w:t>
      </w:r>
      <w:r>
        <w:rPr>
          <w:rFonts w:ascii="Times New Roman"/>
          <w:iCs/>
          <w:szCs w:val="21"/>
        </w:rPr>
        <w:t>——</w:t>
      </w:r>
      <w:r>
        <w:rPr>
          <w:rFonts w:ascii="Times New Roman"/>
        </w:rPr>
        <w:t>由指定点的光束元在包含指定方向的立体角dΩ内传播的光通量，单位lm；</w:t>
      </w:r>
    </w:p>
    <w:p w14:paraId="455A3A40">
      <w:pPr>
        <w:pStyle w:val="59"/>
        <w:ind w:firstLine="420"/>
        <w:rPr>
          <w:rFonts w:ascii="Times New Roman"/>
        </w:rPr>
      </w:pPr>
      <w:r>
        <w:rPr>
          <w:rFonts w:ascii="Times New Roman"/>
        </w:rPr>
        <w:t>dA</w:t>
      </w:r>
      <w:r>
        <w:rPr>
          <w:rFonts w:ascii="Times New Roman"/>
          <w:iCs/>
          <w:szCs w:val="21"/>
        </w:rPr>
        <w:t>——</w:t>
      </w:r>
      <w:r>
        <w:rPr>
          <w:rFonts w:ascii="Times New Roman"/>
        </w:rPr>
        <w:t>包含给定点的光束截面积，单位m</w:t>
      </w:r>
      <w:r>
        <w:rPr>
          <w:rFonts w:ascii="Times New Roman"/>
          <w:vertAlign w:val="superscript"/>
        </w:rPr>
        <w:t>2</w:t>
      </w:r>
      <w:r>
        <w:rPr>
          <w:rFonts w:ascii="Times New Roman"/>
        </w:rPr>
        <w:t>。</w:t>
      </w:r>
    </w:p>
    <w:p w14:paraId="3102B243">
      <w:pPr>
        <w:pStyle w:val="59"/>
        <w:ind w:left="420" w:leftChars="200" w:firstLine="0" w:firstLineChars="0"/>
        <w:rPr>
          <w:rFonts w:ascii="Times New Roman" w:eastAsia="黑体"/>
        </w:rPr>
      </w:pPr>
      <w:r>
        <w:rPr>
          <w:rFonts w:ascii="Times New Roman"/>
        </w:rPr>
        <w:t>[来源：GB/T 50034-2024，2.0.7</w:t>
      </w:r>
      <w:r>
        <w:rPr>
          <w:rFonts w:hint="eastAsia" w:ascii="Times New Roman"/>
        </w:rPr>
        <w:t>，</w:t>
      </w:r>
      <w:r>
        <w:rPr>
          <w:rFonts w:ascii="Times New Roman"/>
        </w:rPr>
        <w:t>有修改]</w:t>
      </w:r>
    </w:p>
    <w:p w14:paraId="169A5E85">
      <w:pPr>
        <w:pStyle w:val="108"/>
        <w:spacing w:before="120" w:after="120"/>
        <w:rPr>
          <w:lang w:eastAsia="zh-Hans"/>
        </w:rPr>
      </w:pPr>
      <w:bookmarkStart w:id="107" w:name="_Toc2830"/>
      <w:bookmarkEnd w:id="107"/>
    </w:p>
    <w:p w14:paraId="13420D80">
      <w:pPr>
        <w:pStyle w:val="226"/>
        <w:numPr>
          <w:ilvl w:val="255"/>
          <w:numId w:val="0"/>
        </w:numPr>
        <w:ind w:left="-420" w:leftChars="-200" w:firstLine="840" w:firstLineChars="400"/>
        <w:rPr>
          <w:rFonts w:hint="eastAsia" w:ascii="黑体" w:hAnsi="黑体" w:eastAsia="黑体"/>
        </w:rPr>
      </w:pPr>
      <w:r>
        <w:rPr>
          <w:rFonts w:hint="eastAsia" w:ascii="黑体" w:eastAsia="黑体"/>
        </w:rPr>
        <w:t>初始平均照度</w:t>
      </w:r>
      <w:r>
        <w:rPr>
          <w:rFonts w:hint="eastAsia" w:ascii="黑体" w:hAnsi="黑体" w:eastAsia="黑体"/>
          <w:color w:val="000000"/>
        </w:rPr>
        <w:t xml:space="preserve">  </w:t>
      </w:r>
      <w:r>
        <w:rPr>
          <w:rFonts w:hint="eastAsia" w:ascii="Times New Roman" w:eastAsia="黑体"/>
          <w:b/>
          <w:bCs/>
        </w:rPr>
        <w:t>initial average illuminance</w:t>
      </w:r>
    </w:p>
    <w:p w14:paraId="3AD0D229">
      <w:pPr>
        <w:pStyle w:val="59"/>
        <w:ind w:firstLine="420"/>
        <w:rPr>
          <w:rFonts w:ascii="Times New Roman"/>
          <w:lang w:eastAsia="zh-Hans"/>
        </w:rPr>
      </w:pPr>
      <w:r>
        <w:rPr>
          <w:rFonts w:hint="eastAsia" w:ascii="Times New Roman"/>
          <w:lang w:eastAsia="zh-Hans"/>
        </w:rPr>
        <w:t>照明装置新装时在规定表面上的平均照度。</w:t>
      </w:r>
    </w:p>
    <w:p w14:paraId="58E2ED96">
      <w:pPr>
        <w:pStyle w:val="108"/>
        <w:spacing w:before="120" w:after="120"/>
        <w:rPr>
          <w:lang w:eastAsia="zh-Hans"/>
        </w:rPr>
      </w:pPr>
      <w:bookmarkStart w:id="108" w:name="_Toc10325"/>
      <w:bookmarkEnd w:id="108"/>
    </w:p>
    <w:p w14:paraId="0E590831">
      <w:pPr>
        <w:pStyle w:val="226"/>
        <w:numPr>
          <w:ilvl w:val="255"/>
          <w:numId w:val="0"/>
        </w:numPr>
        <w:ind w:left="-420" w:leftChars="-200" w:firstLine="840" w:firstLineChars="400"/>
        <w:rPr>
          <w:rFonts w:hint="eastAsia" w:ascii="黑体" w:hAnsi="黑体" w:eastAsia="黑体"/>
        </w:rPr>
      </w:pPr>
      <w:r>
        <w:rPr>
          <w:rFonts w:hint="eastAsia" w:ascii="黑体" w:eastAsia="黑体"/>
        </w:rPr>
        <w:t>混合照明照度</w:t>
      </w:r>
      <w:r>
        <w:rPr>
          <w:rFonts w:hint="eastAsia" w:ascii="黑体" w:hAnsi="黑体" w:eastAsia="黑体"/>
        </w:rPr>
        <w:t xml:space="preserve"> </w:t>
      </w:r>
      <w:r>
        <w:rPr>
          <w:rFonts w:ascii="黑体" w:hAnsi="黑体" w:eastAsia="黑体"/>
        </w:rPr>
        <w:t xml:space="preserve"> </w:t>
      </w:r>
      <w:r>
        <w:rPr>
          <w:rFonts w:hint="eastAsia" w:ascii="Times New Roman" w:eastAsia="黑体"/>
          <w:b/>
          <w:bCs/>
        </w:rPr>
        <w:t>mixed illuminance</w:t>
      </w:r>
    </w:p>
    <w:p w14:paraId="4F86BE75">
      <w:pPr>
        <w:pStyle w:val="59"/>
        <w:ind w:firstLine="420"/>
        <w:rPr>
          <w:rFonts w:ascii="Times New Roman"/>
          <w:lang w:eastAsia="zh-Hans"/>
        </w:rPr>
      </w:pPr>
      <w:r>
        <w:rPr>
          <w:rFonts w:hint="eastAsia" w:ascii="Times New Roman"/>
          <w:lang w:eastAsia="zh-Hans"/>
        </w:rPr>
        <w:t>由教室灯具与黑板灯具共同产生的照度。</w:t>
      </w:r>
    </w:p>
    <w:p w14:paraId="2D85F153">
      <w:pPr>
        <w:pStyle w:val="108"/>
        <w:spacing w:before="120" w:after="120"/>
        <w:rPr>
          <w:lang w:eastAsia="zh-Hans"/>
        </w:rPr>
      </w:pPr>
      <w:bookmarkStart w:id="109" w:name="_Toc16014"/>
      <w:bookmarkEnd w:id="109"/>
    </w:p>
    <w:p w14:paraId="4328F029">
      <w:pPr>
        <w:pStyle w:val="226"/>
        <w:numPr>
          <w:ilvl w:val="255"/>
          <w:numId w:val="0"/>
        </w:numPr>
        <w:ind w:left="-420" w:leftChars="-200" w:firstLine="840" w:firstLineChars="400"/>
        <w:rPr>
          <w:rFonts w:hint="eastAsia" w:ascii="黑体" w:hAnsi="黑体" w:eastAsia="黑体"/>
        </w:rPr>
      </w:pPr>
      <w:r>
        <w:rPr>
          <w:rFonts w:hint="eastAsia" w:ascii="黑体" w:eastAsia="黑体"/>
        </w:rPr>
        <w:t>维持平均照度</w:t>
      </w:r>
      <w:r>
        <w:rPr>
          <w:rFonts w:hint="eastAsia" w:ascii="黑体" w:hAnsi="黑体" w:eastAsia="黑体"/>
          <w:color w:val="000000"/>
        </w:rPr>
        <w:t xml:space="preserve">  </w:t>
      </w:r>
      <w:r>
        <w:rPr>
          <w:rFonts w:hint="eastAsia" w:ascii="Times New Roman" w:eastAsia="黑体"/>
          <w:b/>
          <w:bCs/>
        </w:rPr>
        <w:t>maintained average illuminance</w:t>
      </w:r>
    </w:p>
    <w:p w14:paraId="298D4DC1">
      <w:pPr>
        <w:pStyle w:val="59"/>
        <w:ind w:firstLine="420"/>
        <w:rPr>
          <w:rFonts w:hint="eastAsia" w:hAnsi="宋体"/>
          <w:szCs w:val="21"/>
        </w:rPr>
      </w:pPr>
      <w:r>
        <w:rPr>
          <w:rFonts w:hint="eastAsia" w:hAnsi="宋体"/>
        </w:rPr>
        <w:t>在照明装置必须进行维护时，在规定表面上的平均照度</w:t>
      </w:r>
      <w:r>
        <w:rPr>
          <w:rFonts w:hint="eastAsia" w:hAnsi="宋体"/>
          <w:szCs w:val="21"/>
        </w:rPr>
        <w:t>。</w:t>
      </w:r>
    </w:p>
    <w:p w14:paraId="0D7009FF">
      <w:pPr>
        <w:pStyle w:val="59"/>
        <w:ind w:left="420" w:leftChars="200" w:firstLine="0" w:firstLineChars="0"/>
        <w:rPr>
          <w:rFonts w:ascii="Times New Roman" w:eastAsia="黑体"/>
        </w:rPr>
      </w:pPr>
      <w:r>
        <w:rPr>
          <w:rFonts w:ascii="Times New Roman"/>
        </w:rPr>
        <w:t>[来源：GB/T 50034-2024，2.0.9]</w:t>
      </w:r>
    </w:p>
    <w:p w14:paraId="50B7F924">
      <w:pPr>
        <w:pStyle w:val="108"/>
        <w:spacing w:before="120" w:after="120"/>
        <w:rPr>
          <w:lang w:eastAsia="zh-Hans"/>
        </w:rPr>
      </w:pPr>
      <w:bookmarkStart w:id="110" w:name="_Toc18405"/>
      <w:bookmarkEnd w:id="110"/>
    </w:p>
    <w:p w14:paraId="6BA8A1A6">
      <w:pPr>
        <w:pStyle w:val="226"/>
        <w:numPr>
          <w:ilvl w:val="255"/>
          <w:numId w:val="0"/>
        </w:numPr>
        <w:ind w:left="-420" w:leftChars="-200" w:firstLine="840" w:firstLineChars="400"/>
        <w:rPr>
          <w:rFonts w:hint="eastAsia" w:ascii="黑体" w:hAnsi="黑体" w:eastAsia="黑体"/>
        </w:rPr>
      </w:pPr>
      <w:r>
        <w:rPr>
          <w:rFonts w:hint="eastAsia" w:ascii="黑体" w:eastAsia="黑体"/>
        </w:rPr>
        <w:t>参考平面</w:t>
      </w:r>
      <w:r>
        <w:rPr>
          <w:rFonts w:hint="eastAsia" w:ascii="黑体" w:hAnsi="黑体" w:eastAsia="黑体"/>
        </w:rPr>
        <w:t xml:space="preserve"> </w:t>
      </w:r>
      <w:r>
        <w:rPr>
          <w:rFonts w:ascii="黑体" w:hAnsi="黑体" w:eastAsia="黑体"/>
        </w:rPr>
        <w:t xml:space="preserve"> </w:t>
      </w:r>
      <w:r>
        <w:rPr>
          <w:rFonts w:hint="eastAsia" w:ascii="Times New Roman" w:eastAsia="黑体"/>
          <w:b/>
          <w:bCs/>
        </w:rPr>
        <w:t>reference surface</w:t>
      </w:r>
    </w:p>
    <w:p w14:paraId="0209587C">
      <w:pPr>
        <w:pStyle w:val="59"/>
        <w:ind w:firstLine="420"/>
        <w:rPr>
          <w:rFonts w:hint="eastAsia" w:hAnsi="宋体"/>
        </w:rPr>
      </w:pPr>
      <w:r>
        <w:rPr>
          <w:rFonts w:hint="eastAsia" w:hAnsi="宋体"/>
        </w:rPr>
        <w:t>测量或规定照度的平面。</w:t>
      </w:r>
    </w:p>
    <w:p w14:paraId="75691072">
      <w:pPr>
        <w:pStyle w:val="59"/>
        <w:ind w:left="420" w:leftChars="200" w:firstLine="0" w:firstLineChars="0"/>
        <w:rPr>
          <w:rFonts w:ascii="Times New Roman" w:eastAsia="黑体"/>
        </w:rPr>
      </w:pPr>
      <w:r>
        <w:rPr>
          <w:rFonts w:ascii="Times New Roman"/>
        </w:rPr>
        <w:t>[来源：GB/T 50034-2024，2.0.11]</w:t>
      </w:r>
    </w:p>
    <w:p w14:paraId="6E3EA9B2">
      <w:pPr>
        <w:pStyle w:val="108"/>
        <w:spacing w:before="120" w:after="120"/>
        <w:rPr>
          <w:lang w:eastAsia="zh-Hans"/>
        </w:rPr>
      </w:pPr>
      <w:bookmarkStart w:id="111" w:name="_Toc17741"/>
      <w:bookmarkEnd w:id="111"/>
    </w:p>
    <w:p w14:paraId="0255906C">
      <w:pPr>
        <w:pStyle w:val="226"/>
        <w:numPr>
          <w:ilvl w:val="255"/>
          <w:numId w:val="0"/>
        </w:numPr>
        <w:ind w:left="-420" w:leftChars="-200" w:firstLine="840" w:firstLineChars="400"/>
        <w:rPr>
          <w:rFonts w:hint="eastAsia" w:ascii="黑体" w:hAnsi="黑体" w:eastAsia="黑体"/>
        </w:rPr>
      </w:pPr>
      <w:r>
        <w:rPr>
          <w:rFonts w:hint="eastAsia" w:ascii="黑体" w:eastAsia="黑体"/>
        </w:rPr>
        <w:t>维护系数</w:t>
      </w:r>
      <w:r>
        <w:rPr>
          <w:rFonts w:hint="eastAsia" w:ascii="黑体" w:hAnsi="黑体" w:eastAsia="黑体"/>
          <w:color w:val="000000"/>
        </w:rPr>
        <w:t xml:space="preserve"> </w:t>
      </w:r>
      <w:r>
        <w:rPr>
          <w:rFonts w:ascii="黑体" w:hAnsi="黑体" w:eastAsia="黑体"/>
          <w:color w:val="000000"/>
        </w:rPr>
        <w:t xml:space="preserve"> </w:t>
      </w:r>
      <w:r>
        <w:rPr>
          <w:rFonts w:hint="eastAsia" w:ascii="Times New Roman" w:eastAsia="黑体"/>
          <w:b/>
          <w:bCs/>
        </w:rPr>
        <w:t>maintenance factor</w:t>
      </w:r>
    </w:p>
    <w:p w14:paraId="56022B04">
      <w:pPr>
        <w:pStyle w:val="59"/>
        <w:ind w:firstLine="420"/>
        <w:rPr>
          <w:rFonts w:hint="eastAsia" w:hAnsi="宋体"/>
        </w:rPr>
      </w:pPr>
      <w:r>
        <w:rPr>
          <w:rFonts w:hint="eastAsia" w:hAnsi="宋体"/>
        </w:rPr>
        <w:t>照明装置在使用一定周期后，在规定表面上的平均照度与该装置在相同条件下新装时所得到的平均照度之比。</w:t>
      </w:r>
    </w:p>
    <w:p w14:paraId="475CBD35">
      <w:pPr>
        <w:pStyle w:val="59"/>
        <w:ind w:left="420" w:leftChars="200" w:firstLine="0" w:firstLineChars="0"/>
        <w:rPr>
          <w:rFonts w:ascii="Times New Roman" w:eastAsia="黑体"/>
        </w:rPr>
      </w:pPr>
      <w:r>
        <w:rPr>
          <w:rFonts w:ascii="Times New Roman"/>
        </w:rPr>
        <w:t>[来源：GB/T 50034-2024，2.0.14,有修改]</w:t>
      </w:r>
    </w:p>
    <w:p w14:paraId="77569C43">
      <w:pPr>
        <w:pStyle w:val="108"/>
        <w:spacing w:before="120" w:after="120"/>
        <w:rPr>
          <w:lang w:eastAsia="zh-Hans"/>
        </w:rPr>
      </w:pPr>
      <w:bookmarkStart w:id="112" w:name="_Toc18554"/>
      <w:bookmarkEnd w:id="112"/>
    </w:p>
    <w:p w14:paraId="05BA2301">
      <w:pPr>
        <w:pStyle w:val="226"/>
        <w:numPr>
          <w:ilvl w:val="255"/>
          <w:numId w:val="0"/>
        </w:numPr>
        <w:ind w:left="-420" w:leftChars="-200" w:firstLine="840" w:firstLineChars="400"/>
        <w:rPr>
          <w:rFonts w:hint="eastAsia" w:ascii="黑体" w:hAnsi="黑体" w:eastAsia="黑体"/>
        </w:rPr>
      </w:pPr>
      <w:r>
        <w:rPr>
          <w:rFonts w:hint="eastAsia" w:ascii="黑体" w:eastAsia="黑体"/>
        </w:rPr>
        <w:t>照明功率密度</w:t>
      </w:r>
      <w:r>
        <w:rPr>
          <w:rFonts w:hint="eastAsia" w:ascii="黑体" w:hAnsi="黑体" w:eastAsia="黑体"/>
        </w:rPr>
        <w:t xml:space="preserve">  </w:t>
      </w:r>
      <w:r>
        <w:rPr>
          <w:rFonts w:hint="eastAsia" w:ascii="Times New Roman" w:eastAsia="黑体"/>
          <w:b/>
          <w:bCs/>
        </w:rPr>
        <w:t>lighting power density</w:t>
      </w:r>
    </w:p>
    <w:p w14:paraId="4AAE1AC8">
      <w:pPr>
        <w:pStyle w:val="59"/>
        <w:ind w:firstLine="420"/>
        <w:rPr>
          <w:rFonts w:ascii="Times New Roman"/>
        </w:rPr>
      </w:pPr>
      <w:bookmarkStart w:id="113" w:name="_Toc471987740"/>
      <w:bookmarkStart w:id="114" w:name="_Toc471988026"/>
      <w:r>
        <w:rPr>
          <w:rFonts w:ascii="Times New Roman"/>
        </w:rPr>
        <w:t>单位面积上照明实际消耗的功率（包括光源、镇流器或控制器等），单位为瓦每平方米（W/m2）。</w:t>
      </w:r>
      <w:bookmarkEnd w:id="113"/>
      <w:bookmarkEnd w:id="114"/>
    </w:p>
    <w:p w14:paraId="53627676">
      <w:pPr>
        <w:pStyle w:val="59"/>
        <w:ind w:left="420" w:leftChars="200" w:firstLine="0" w:firstLineChars="0"/>
        <w:rPr>
          <w:rFonts w:ascii="Times New Roman" w:eastAsia="黑体"/>
        </w:rPr>
      </w:pPr>
      <w:r>
        <w:rPr>
          <w:rFonts w:ascii="Times New Roman"/>
        </w:rPr>
        <w:t>[来源：GB/T 50034-2024，2.0.61,有修改]</w:t>
      </w:r>
    </w:p>
    <w:p w14:paraId="6516E916">
      <w:pPr>
        <w:pStyle w:val="108"/>
        <w:spacing w:before="120" w:after="120"/>
        <w:rPr>
          <w:lang w:eastAsia="zh-Hans"/>
        </w:rPr>
      </w:pPr>
      <w:bookmarkStart w:id="115" w:name="_Toc13747"/>
      <w:bookmarkEnd w:id="115"/>
    </w:p>
    <w:p w14:paraId="7A672174">
      <w:pPr>
        <w:pStyle w:val="226"/>
        <w:numPr>
          <w:ilvl w:val="255"/>
          <w:numId w:val="0"/>
        </w:numPr>
        <w:autoSpaceDE w:val="0"/>
        <w:autoSpaceDN w:val="0"/>
        <w:ind w:left="-420" w:leftChars="-200" w:firstLine="840" w:firstLineChars="400"/>
        <w:rPr>
          <w:rFonts w:hint="eastAsia" w:ascii="黑体" w:hAnsi="黑体" w:eastAsia="黑体"/>
        </w:rPr>
      </w:pPr>
      <w:r>
        <w:rPr>
          <w:rFonts w:hint="eastAsia" w:ascii="黑体" w:eastAsia="黑体"/>
        </w:rPr>
        <w:t>教室照明灯具</w:t>
      </w:r>
      <w:r>
        <w:rPr>
          <w:rFonts w:hint="eastAsia" w:ascii="黑体" w:hAnsi="黑体" w:eastAsia="黑体"/>
        </w:rPr>
        <w:t xml:space="preserve"> </w:t>
      </w:r>
      <w:r>
        <w:rPr>
          <w:rFonts w:ascii="黑体" w:hAnsi="黑体" w:eastAsia="黑体"/>
        </w:rPr>
        <w:t xml:space="preserve"> </w:t>
      </w:r>
      <w:r>
        <w:rPr>
          <w:rFonts w:hint="eastAsia" w:ascii="Times New Roman" w:eastAsia="黑体"/>
          <w:b/>
          <w:bCs/>
        </w:rPr>
        <w:t>classroom lighting luminaire</w:t>
      </w:r>
    </w:p>
    <w:p w14:paraId="4F0B563D">
      <w:pPr>
        <w:pStyle w:val="59"/>
        <w:ind w:firstLine="420"/>
        <w:rPr>
          <w:rFonts w:hint="eastAsia" w:hAnsi="宋体"/>
        </w:rPr>
      </w:pPr>
      <w:r>
        <w:rPr>
          <w:rFonts w:hint="eastAsia" w:hAnsi="宋体"/>
        </w:rPr>
        <w:t>用于教室内照明的灯具，按照灯具光源分为荧光灯灯具和LED灯具，按照照明目标分为教室灯具和黑板灯具。</w:t>
      </w:r>
    </w:p>
    <w:p w14:paraId="275833D6">
      <w:pPr>
        <w:pStyle w:val="108"/>
        <w:spacing w:before="120" w:after="120"/>
        <w:rPr>
          <w:lang w:eastAsia="zh-Hans"/>
        </w:rPr>
      </w:pPr>
      <w:bookmarkStart w:id="116" w:name="_Toc3832"/>
      <w:bookmarkEnd w:id="116"/>
    </w:p>
    <w:p w14:paraId="42D065BC">
      <w:pPr>
        <w:pStyle w:val="226"/>
        <w:numPr>
          <w:ilvl w:val="255"/>
          <w:numId w:val="0"/>
        </w:numPr>
        <w:ind w:left="-420" w:leftChars="-200" w:firstLine="840" w:firstLineChars="400"/>
        <w:rPr>
          <w:rFonts w:hint="eastAsia" w:ascii="黑体" w:hAnsi="黑体" w:eastAsia="黑体"/>
        </w:rPr>
      </w:pPr>
      <w:r>
        <w:rPr>
          <w:rFonts w:hint="eastAsia" w:ascii="黑体" w:eastAsia="黑体"/>
        </w:rPr>
        <w:t>眩光</w:t>
      </w:r>
      <w:r>
        <w:rPr>
          <w:rFonts w:ascii="黑体" w:hAnsi="黑体" w:eastAsia="黑体"/>
        </w:rPr>
        <w:t xml:space="preserve">  </w:t>
      </w:r>
      <w:r>
        <w:rPr>
          <w:rFonts w:hint="eastAsia" w:ascii="Times New Roman" w:eastAsia="黑体"/>
          <w:b/>
          <w:bCs/>
        </w:rPr>
        <w:t>glare</w:t>
      </w:r>
    </w:p>
    <w:p w14:paraId="4C2DF020">
      <w:pPr>
        <w:pStyle w:val="59"/>
        <w:ind w:firstLine="420"/>
        <w:rPr>
          <w:rFonts w:hint="eastAsia" w:hAnsi="宋体"/>
        </w:rPr>
      </w:pPr>
      <w:r>
        <w:rPr>
          <w:rFonts w:hint="eastAsia" w:hAnsi="宋体"/>
        </w:rPr>
        <w:t>由于视野中的亮度分布或亮度范围的不适宜，或存在极端的对比，以致引起不舒适的感觉或减低观察细部或目标的能力的视觉现象。</w:t>
      </w:r>
    </w:p>
    <w:p w14:paraId="34621BCD">
      <w:pPr>
        <w:pStyle w:val="59"/>
        <w:ind w:firstLine="420"/>
        <w:rPr>
          <w:rFonts w:ascii="Times New Roman"/>
        </w:rPr>
      </w:pPr>
      <w:r>
        <w:rPr>
          <w:rFonts w:ascii="Times New Roman"/>
        </w:rPr>
        <w:t>[来源：GB/T 50034-2024，2.0.40]</w:t>
      </w:r>
    </w:p>
    <w:p w14:paraId="6FF9A60D">
      <w:pPr>
        <w:pStyle w:val="108"/>
        <w:spacing w:before="120" w:after="120"/>
        <w:rPr>
          <w:lang w:eastAsia="zh-Hans"/>
        </w:rPr>
      </w:pPr>
      <w:bookmarkStart w:id="117" w:name="_Toc20677"/>
      <w:bookmarkEnd w:id="117"/>
    </w:p>
    <w:p w14:paraId="0E0946F5">
      <w:pPr>
        <w:pStyle w:val="226"/>
        <w:numPr>
          <w:ilvl w:val="255"/>
          <w:numId w:val="0"/>
        </w:numPr>
        <w:ind w:left="-420" w:leftChars="-200" w:firstLine="840" w:firstLineChars="400"/>
        <w:rPr>
          <w:rFonts w:ascii="Times New Roman" w:eastAsia="黑体"/>
        </w:rPr>
      </w:pPr>
      <w:r>
        <w:rPr>
          <w:rFonts w:hint="eastAsia" w:ascii="黑体" w:eastAsia="黑体"/>
        </w:rPr>
        <w:t>统一眩光值</w:t>
      </w:r>
      <w:r>
        <w:rPr>
          <w:rFonts w:hint="eastAsia" w:ascii="黑体" w:hAnsi="黑体" w:eastAsia="黑体"/>
          <w:color w:val="000000"/>
        </w:rPr>
        <w:t xml:space="preserve"> </w:t>
      </w:r>
      <w:r>
        <w:rPr>
          <w:rFonts w:ascii="黑体" w:hAnsi="黑体" w:eastAsia="黑体"/>
          <w:color w:val="000000"/>
        </w:rPr>
        <w:t xml:space="preserve"> </w:t>
      </w:r>
      <w:r>
        <w:rPr>
          <w:rFonts w:hint="eastAsia" w:ascii="Times New Roman" w:eastAsia="黑体"/>
          <w:b/>
          <w:bCs/>
        </w:rPr>
        <w:t xml:space="preserve">unified glare rating </w:t>
      </w:r>
    </w:p>
    <w:p w14:paraId="4D08925F">
      <w:pPr>
        <w:pStyle w:val="226"/>
        <w:numPr>
          <w:ilvl w:val="255"/>
          <w:numId w:val="0"/>
        </w:numPr>
        <w:ind w:left="-420" w:leftChars="-200" w:firstLine="840" w:firstLineChars="400"/>
        <w:rPr>
          <w:rFonts w:hint="eastAsia" w:ascii="黑体" w:hAnsi="黑体" w:eastAsia="黑体"/>
        </w:rPr>
      </w:pPr>
      <w:r>
        <w:rPr>
          <w:rFonts w:hint="eastAsia" w:ascii="Times New Roman" w:eastAsia="黑体"/>
        </w:rPr>
        <w:t>UGR</w:t>
      </w:r>
    </w:p>
    <w:p w14:paraId="08B0DCB7">
      <w:pPr>
        <w:pStyle w:val="59"/>
        <w:ind w:firstLine="420"/>
        <w:rPr>
          <w:rFonts w:hint="eastAsia" w:hAnsi="宋体"/>
        </w:rPr>
      </w:pPr>
      <w:r>
        <w:rPr>
          <w:rFonts w:hint="eastAsia" w:hAnsi="宋体"/>
        </w:rPr>
        <w:t>度量室内视觉环境中的照明装置发出的光对人眼引起不舒适感主观反映的心理参量，其值可按CIE统一眩光值公式计算。</w:t>
      </w:r>
    </w:p>
    <w:p w14:paraId="3927D1A4">
      <w:pPr>
        <w:pStyle w:val="59"/>
        <w:ind w:left="420" w:leftChars="200" w:firstLine="0" w:firstLineChars="0"/>
        <w:rPr>
          <w:rFonts w:ascii="Times New Roman"/>
        </w:rPr>
      </w:pPr>
      <w:r>
        <w:rPr>
          <w:rFonts w:ascii="Times New Roman"/>
        </w:rPr>
        <w:t>[来源：GB/T 50034-2024，2.0.42]</w:t>
      </w:r>
    </w:p>
    <w:p w14:paraId="1499D8E3">
      <w:pPr>
        <w:pStyle w:val="108"/>
        <w:spacing w:before="120" w:after="120"/>
        <w:rPr>
          <w:lang w:eastAsia="zh-Hans"/>
        </w:rPr>
      </w:pPr>
      <w:bookmarkStart w:id="118" w:name="_Toc20795"/>
      <w:bookmarkEnd w:id="118"/>
    </w:p>
    <w:p w14:paraId="7DC54FA4">
      <w:pPr>
        <w:pStyle w:val="226"/>
        <w:numPr>
          <w:ilvl w:val="255"/>
          <w:numId w:val="0"/>
        </w:numPr>
        <w:autoSpaceDE w:val="0"/>
        <w:autoSpaceDN w:val="0"/>
        <w:ind w:left="-420" w:leftChars="-200" w:firstLine="840" w:firstLineChars="400"/>
      </w:pPr>
      <w:r>
        <w:rPr>
          <w:rFonts w:hint="eastAsia" w:ascii="黑体" w:eastAsia="黑体"/>
        </w:rPr>
        <w:t>视黑素响应日光（D65）等效照度</w:t>
      </w:r>
      <w:r>
        <w:rPr>
          <w:rFonts w:hint="eastAsia" w:ascii="黑体" w:hAnsi="黑体" w:eastAsia="黑体"/>
        </w:rPr>
        <w:t xml:space="preserve">  </w:t>
      </w:r>
      <w:r>
        <w:rPr>
          <w:rFonts w:hint="eastAsia" w:ascii="Times New Roman" w:eastAsia="黑体"/>
          <w:b/>
          <w:bCs/>
        </w:rPr>
        <w:t>melanopic equivalent daylight (D65) illuminance (m-EDI)</w:t>
      </w:r>
    </w:p>
    <w:p w14:paraId="1466CBE9">
      <w:pPr>
        <w:pStyle w:val="59"/>
        <w:ind w:firstLine="420"/>
        <w:rPr>
          <w:rFonts w:ascii="Times New Roman"/>
        </w:rPr>
      </w:pPr>
      <w:r>
        <w:rPr>
          <w:rFonts w:ascii="Times New Roman"/>
        </w:rPr>
        <w:t>由CIE标准光源D65产生相同的视黑素等效照度时，该D65标准光源的照度数值称为视黑素等效日光（D65）照度，简写为m-EDI，单位为勒克斯（lx）。</w:t>
      </w:r>
    </w:p>
    <w:p w14:paraId="16906EF0">
      <w:pPr>
        <w:pStyle w:val="107"/>
        <w:spacing w:before="240" w:after="240"/>
      </w:pPr>
      <w:bookmarkStart w:id="119" w:name="_Toc12854"/>
      <w:r>
        <w:rPr>
          <w:rFonts w:hint="eastAsia"/>
        </w:rPr>
        <w:t>LED灯具技术要求</w:t>
      </w:r>
      <w:bookmarkEnd w:id="119"/>
    </w:p>
    <w:p w14:paraId="0E8C7829">
      <w:pPr>
        <w:pStyle w:val="108"/>
        <w:spacing w:before="120" w:after="120"/>
      </w:pPr>
      <w:bookmarkStart w:id="120" w:name="_Toc3171"/>
      <w:r>
        <w:rPr>
          <w:rFonts w:hint="eastAsia"/>
        </w:rPr>
        <w:t>灯具</w:t>
      </w:r>
      <w:bookmarkEnd w:id="120"/>
    </w:p>
    <w:p w14:paraId="194DDED6">
      <w:pPr>
        <w:pStyle w:val="68"/>
        <w:spacing w:before="120" w:after="120"/>
        <w:rPr>
          <w:rFonts w:ascii="Times New Roman" w:eastAsia="宋体"/>
        </w:rPr>
      </w:pPr>
      <w:bookmarkStart w:id="121" w:name="_Toc20126"/>
      <w:bookmarkStart w:id="122" w:name="_Toc17756"/>
      <w:bookmarkStart w:id="123" w:name="_Toc7772"/>
      <w:bookmarkStart w:id="124" w:name="_Toc20999"/>
      <w:bookmarkStart w:id="125" w:name="_Toc829"/>
      <w:bookmarkStart w:id="126" w:name="_Toc22905"/>
      <w:bookmarkStart w:id="127" w:name="_Toc23786"/>
      <w:bookmarkStart w:id="128" w:name="_Toc32183"/>
      <w:bookmarkStart w:id="129" w:name="_Toc20625"/>
      <w:bookmarkStart w:id="130" w:name="_Toc23166"/>
      <w:bookmarkStart w:id="131" w:name="_Toc16911"/>
      <w:bookmarkStart w:id="132" w:name="_Toc28738"/>
      <w:bookmarkStart w:id="133" w:name="_Toc20817"/>
      <w:bookmarkStart w:id="134" w:name="_Toc19978"/>
      <w:r>
        <w:rPr>
          <w:rFonts w:ascii="Times New Roman" w:eastAsia="宋体"/>
        </w:rPr>
        <w:t>灯具应符合GB/T 7000.1、GB/T 7000.201或GB/T 7000.202、GB/T 17743和GB 17625.1或上述标准等同的IEC和EN标准的要求。</w:t>
      </w:r>
    </w:p>
    <w:p w14:paraId="0CCB966B">
      <w:pPr>
        <w:pStyle w:val="68"/>
        <w:spacing w:before="120" w:after="120"/>
        <w:rPr>
          <w:rFonts w:ascii="Times New Roman" w:eastAsia="宋体"/>
        </w:rPr>
      </w:pPr>
      <w:r>
        <w:rPr>
          <w:rFonts w:ascii="Times New Roman" w:eastAsia="宋体"/>
        </w:rPr>
        <w:t>列入国家强制性认证范围的灯具应通过国家CCC产品认证，并取得CCC证书。</w:t>
      </w:r>
    </w:p>
    <w:p w14:paraId="3E219DC2">
      <w:pPr>
        <w:pStyle w:val="68"/>
        <w:spacing w:before="120" w:after="120"/>
        <w:rPr>
          <w:rFonts w:ascii="Times New Roman" w:eastAsia="宋体"/>
        </w:rPr>
      </w:pPr>
      <w:r>
        <w:rPr>
          <w:rFonts w:ascii="Times New Roman" w:eastAsia="宋体"/>
        </w:rPr>
        <w:t>灯具效能应不低于80 lm/W。</w:t>
      </w:r>
    </w:p>
    <w:p w14:paraId="470DC144">
      <w:pPr>
        <w:pStyle w:val="68"/>
        <w:spacing w:before="120" w:after="120"/>
        <w:rPr>
          <w:rFonts w:ascii="Times New Roman" w:eastAsia="宋体"/>
        </w:rPr>
      </w:pPr>
      <w:r>
        <w:rPr>
          <w:rFonts w:ascii="Times New Roman" w:eastAsia="宋体"/>
        </w:rPr>
        <w:t>灯具的LED模块（灯珠）应不可直接可见。在正常观察方向上，教室灯具出光口平面在其中垂线以上不低于65°高度角的平均亮度应不高于2000 cd/m</w:t>
      </w:r>
      <w:r>
        <w:rPr>
          <w:rFonts w:hint="eastAsia" w:ascii="Times New Roman" w:eastAsia="宋体"/>
          <w:vertAlign w:val="superscript"/>
        </w:rPr>
        <w:t>2</w:t>
      </w:r>
      <w:r>
        <w:rPr>
          <w:rFonts w:ascii="Times New Roman" w:eastAsia="宋体"/>
        </w:rPr>
        <w:t>。</w:t>
      </w:r>
    </w:p>
    <w:p w14:paraId="388077AB">
      <w:pPr>
        <w:pStyle w:val="68"/>
        <w:spacing w:before="120" w:after="120"/>
        <w:rPr>
          <w:rFonts w:ascii="Times New Roman" w:eastAsia="宋体"/>
        </w:rPr>
      </w:pPr>
      <w:r>
        <w:rPr>
          <w:rFonts w:ascii="Times New Roman" w:eastAsia="宋体"/>
        </w:rPr>
        <w:t>教室灯具在满足教室照明质量指标和照明节能要求的前提下，宜采用向上半球发射光通量占总光通量20%以上的灯具，提高教室空间的明亮程度。</w:t>
      </w:r>
    </w:p>
    <w:p w14:paraId="3951E52B">
      <w:pPr>
        <w:pStyle w:val="68"/>
        <w:spacing w:before="120" w:after="120"/>
        <w:rPr>
          <w:rFonts w:ascii="Times New Roman" w:eastAsia="宋体"/>
        </w:rPr>
      </w:pPr>
      <w:r>
        <w:rPr>
          <w:rFonts w:ascii="Times New Roman" w:eastAsia="宋体"/>
        </w:rPr>
        <w:t>黑板灯具C0-180 平面的光学结构应是对称的，C90-270平面的光学结构应是非对称的。</w:t>
      </w:r>
    </w:p>
    <w:p w14:paraId="253D7422">
      <w:pPr>
        <w:pStyle w:val="68"/>
        <w:spacing w:before="120" w:after="120"/>
        <w:rPr>
          <w:rFonts w:ascii="Times New Roman" w:eastAsia="宋体"/>
        </w:rPr>
      </w:pPr>
      <w:r>
        <w:rPr>
          <w:rFonts w:ascii="Times New Roman" w:eastAsia="宋体"/>
        </w:rPr>
        <w:t>灯具的壳体材料宜采用金属材料。</w:t>
      </w:r>
    </w:p>
    <w:p w14:paraId="48E08096">
      <w:pPr>
        <w:pStyle w:val="68"/>
        <w:spacing w:before="120" w:after="120"/>
        <w:rPr>
          <w:rFonts w:ascii="Times New Roman" w:eastAsia="宋体"/>
        </w:rPr>
      </w:pPr>
      <w:r>
        <w:rPr>
          <w:rFonts w:ascii="Times New Roman" w:eastAsia="宋体"/>
        </w:rPr>
        <w:t>灯具透光罩材料应具备抗UV特性，防止材料黄化。</w:t>
      </w:r>
    </w:p>
    <w:p w14:paraId="5023F419">
      <w:pPr>
        <w:pStyle w:val="68"/>
        <w:spacing w:before="120" w:after="120"/>
        <w:rPr>
          <w:rFonts w:ascii="Times New Roman" w:eastAsia="宋体"/>
        </w:rPr>
      </w:pPr>
      <w:r>
        <w:rPr>
          <w:rFonts w:ascii="Times New Roman" w:eastAsia="宋体"/>
        </w:rPr>
        <w:t>黑板灯具的投射角宜可调节。</w:t>
      </w:r>
    </w:p>
    <w:p w14:paraId="381B9B14">
      <w:pPr>
        <w:pStyle w:val="68"/>
        <w:spacing w:before="120" w:after="120"/>
        <w:rPr>
          <w:rFonts w:ascii="Times New Roman" w:eastAsia="宋体"/>
        </w:rPr>
      </w:pPr>
      <w:r>
        <w:rPr>
          <w:rFonts w:ascii="Times New Roman" w:eastAsia="宋体"/>
        </w:rPr>
        <w:t>灯具的额定寿命应不低于30000 h，试验按照GB/T 33721-2017中第14章进行。</w:t>
      </w:r>
    </w:p>
    <w:p w14:paraId="1F85BA6B">
      <w:pPr>
        <w:pStyle w:val="68"/>
        <w:spacing w:before="120" w:after="120"/>
        <w:rPr>
          <w:rFonts w:ascii="Times New Roman" w:eastAsia="宋体"/>
        </w:rPr>
      </w:pPr>
      <w:r>
        <w:rPr>
          <w:rFonts w:ascii="Times New Roman" w:eastAsia="宋体"/>
        </w:rPr>
        <w:t>灯具光输出的波动深度应符合GB 40070-2021中第10章的要求，见表1。</w:t>
      </w:r>
    </w:p>
    <w:p w14:paraId="129700A6">
      <w:pPr>
        <w:pStyle w:val="115"/>
        <w:spacing w:before="120" w:after="120"/>
        <w:rPr>
          <w:rFonts w:hint="eastAsia" w:hAnsi="黑体"/>
          <w:szCs w:val="22"/>
          <w:lang w:bidi="ar"/>
        </w:rPr>
      </w:pPr>
      <w:r>
        <w:rPr>
          <w:rFonts w:hint="eastAsia" w:hAnsi="黑体"/>
          <w:szCs w:val="22"/>
          <w:lang w:bidi="ar"/>
        </w:rPr>
        <w:t>波动深度限值要求</w:t>
      </w:r>
    </w:p>
    <w:tbl>
      <w:tblPr>
        <w:tblStyle w:val="28"/>
        <w:tblW w:w="8985" w:type="dxa"/>
        <w:tblInd w:w="215"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594"/>
        <w:gridCol w:w="1560"/>
        <w:gridCol w:w="1842"/>
        <w:gridCol w:w="1843"/>
        <w:gridCol w:w="2146"/>
      </w:tblGrid>
      <w:tr w14:paraId="23010FB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594" w:type="dxa"/>
            <w:tcBorders>
              <w:top w:val="single" w:color="auto" w:sz="12" w:space="0"/>
              <w:bottom w:val="single" w:color="auto" w:sz="4" w:space="0"/>
              <w:right w:val="single" w:color="auto" w:sz="12" w:space="0"/>
            </w:tcBorders>
            <w:vAlign w:val="center"/>
          </w:tcPr>
          <w:p w14:paraId="4B6B377D">
            <w:pPr>
              <w:pStyle w:val="236"/>
              <w:widowControl w:val="0"/>
              <w:spacing w:before="78" w:after="156"/>
              <w:ind w:firstLine="0" w:firstLineChars="0"/>
              <w:jc w:val="center"/>
              <w:rPr>
                <w:rFonts w:ascii="Times New Roman" w:hAnsi="Times New Roman"/>
              </w:rPr>
            </w:pPr>
            <w:r>
              <w:rPr>
                <w:rFonts w:ascii="Times New Roman" w:hAnsi="Times New Roman"/>
                <w:sz w:val="18"/>
                <w:szCs w:val="18"/>
              </w:rPr>
              <w:t>光输出波形频率</w:t>
            </w:r>
            <w:r>
              <w:rPr>
                <w:rFonts w:ascii="Times New Roman" w:hAnsi="Times New Roman"/>
                <w:i/>
                <w:iCs/>
                <w:sz w:val="18"/>
                <w:szCs w:val="18"/>
              </w:rPr>
              <w:t>f</w:t>
            </w:r>
          </w:p>
        </w:tc>
        <w:tc>
          <w:tcPr>
            <w:tcW w:w="1560" w:type="dxa"/>
            <w:tcBorders>
              <w:left w:val="single" w:color="auto" w:sz="12" w:space="0"/>
            </w:tcBorders>
            <w:vAlign w:val="center"/>
          </w:tcPr>
          <w:p w14:paraId="02535433">
            <w:pPr>
              <w:pStyle w:val="236"/>
              <w:widowControl w:val="0"/>
              <w:spacing w:before="78" w:after="156"/>
              <w:ind w:firstLine="0" w:firstLineChars="0"/>
              <w:jc w:val="center"/>
              <w:rPr>
                <w:rFonts w:ascii="Times New Roman" w:hAnsi="Times New Roman"/>
              </w:rPr>
            </w:pPr>
            <w:r>
              <w:rPr>
                <w:rFonts w:ascii="Times New Roman" w:hAnsi="Times New Roman"/>
                <w:i/>
                <w:iCs/>
                <w:sz w:val="18"/>
                <w:szCs w:val="18"/>
              </w:rPr>
              <w:t>f</w:t>
            </w:r>
            <w:r>
              <w:rPr>
                <w:rFonts w:ascii="Times New Roman" w:hAnsi="Times New Roman"/>
                <w:sz w:val="18"/>
                <w:szCs w:val="18"/>
              </w:rPr>
              <w:t>≤10 Hz</w:t>
            </w:r>
          </w:p>
        </w:tc>
        <w:tc>
          <w:tcPr>
            <w:tcW w:w="1842" w:type="dxa"/>
            <w:vAlign w:val="center"/>
          </w:tcPr>
          <w:p w14:paraId="000293EA">
            <w:pPr>
              <w:pStyle w:val="236"/>
              <w:widowControl w:val="0"/>
              <w:spacing w:before="78" w:after="156"/>
              <w:ind w:firstLine="0" w:firstLineChars="0"/>
              <w:jc w:val="center"/>
              <w:rPr>
                <w:rFonts w:ascii="Times New Roman" w:hAnsi="Times New Roman"/>
              </w:rPr>
            </w:pPr>
            <w:r>
              <w:rPr>
                <w:rFonts w:ascii="Times New Roman" w:hAnsi="Times New Roman"/>
                <w:sz w:val="18"/>
                <w:szCs w:val="18"/>
              </w:rPr>
              <w:t>10 Hz＜</w:t>
            </w:r>
            <w:r>
              <w:rPr>
                <w:rFonts w:ascii="Times New Roman" w:hAnsi="Times New Roman"/>
                <w:i/>
                <w:iCs/>
                <w:sz w:val="18"/>
                <w:szCs w:val="18"/>
              </w:rPr>
              <w:t>f</w:t>
            </w:r>
            <w:r>
              <w:rPr>
                <w:rFonts w:ascii="Times New Roman" w:hAnsi="Times New Roman"/>
                <w:sz w:val="18"/>
                <w:szCs w:val="18"/>
              </w:rPr>
              <w:t>≤90 Hz</w:t>
            </w:r>
          </w:p>
        </w:tc>
        <w:tc>
          <w:tcPr>
            <w:tcW w:w="1843" w:type="dxa"/>
            <w:vAlign w:val="center"/>
          </w:tcPr>
          <w:p w14:paraId="02B3D616">
            <w:pPr>
              <w:pStyle w:val="236"/>
              <w:widowControl w:val="0"/>
              <w:spacing w:before="78" w:after="156"/>
              <w:ind w:firstLine="0" w:firstLineChars="0"/>
              <w:jc w:val="center"/>
              <w:rPr>
                <w:rFonts w:ascii="Times New Roman" w:hAnsi="Times New Roman"/>
                <w:sz w:val="18"/>
                <w:szCs w:val="18"/>
              </w:rPr>
            </w:pPr>
            <w:r>
              <w:rPr>
                <w:rFonts w:ascii="Times New Roman" w:hAnsi="Times New Roman"/>
                <w:sz w:val="18"/>
                <w:szCs w:val="18"/>
              </w:rPr>
              <w:t>90 Hz＜</w:t>
            </w:r>
            <w:r>
              <w:rPr>
                <w:rFonts w:ascii="Times New Roman" w:hAnsi="Times New Roman"/>
                <w:i/>
                <w:iCs/>
                <w:sz w:val="18"/>
                <w:szCs w:val="18"/>
              </w:rPr>
              <w:t>f</w:t>
            </w:r>
            <w:r>
              <w:rPr>
                <w:rFonts w:ascii="Times New Roman" w:hAnsi="Times New Roman"/>
                <w:sz w:val="18"/>
                <w:szCs w:val="18"/>
              </w:rPr>
              <w:t>≤3125 Hz</w:t>
            </w:r>
          </w:p>
        </w:tc>
        <w:tc>
          <w:tcPr>
            <w:tcW w:w="2146" w:type="dxa"/>
            <w:vAlign w:val="center"/>
          </w:tcPr>
          <w:p w14:paraId="6B9E583F">
            <w:pPr>
              <w:pStyle w:val="236"/>
              <w:widowControl w:val="0"/>
              <w:spacing w:before="78" w:after="156"/>
              <w:ind w:firstLine="0" w:firstLineChars="0"/>
              <w:jc w:val="center"/>
              <w:rPr>
                <w:rFonts w:ascii="Times New Roman" w:hAnsi="Times New Roman"/>
              </w:rPr>
            </w:pPr>
            <w:r>
              <w:rPr>
                <w:rFonts w:ascii="Times New Roman" w:hAnsi="Times New Roman"/>
                <w:i/>
                <w:iCs/>
                <w:sz w:val="18"/>
                <w:szCs w:val="18"/>
              </w:rPr>
              <w:t xml:space="preserve">f </w:t>
            </w:r>
            <w:r>
              <w:rPr>
                <w:rFonts w:ascii="Times New Roman" w:hAnsi="Times New Roman"/>
                <w:sz w:val="18"/>
                <w:szCs w:val="18"/>
              </w:rPr>
              <w:t xml:space="preserve">&gt;3125 Hz </w:t>
            </w:r>
          </w:p>
        </w:tc>
      </w:tr>
      <w:tr w14:paraId="4F3191D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594" w:type="dxa"/>
            <w:tcBorders>
              <w:top w:val="single" w:color="auto" w:sz="4" w:space="0"/>
              <w:bottom w:val="single" w:color="auto" w:sz="12" w:space="0"/>
              <w:right w:val="single" w:color="auto" w:sz="12" w:space="0"/>
            </w:tcBorders>
            <w:vAlign w:val="center"/>
          </w:tcPr>
          <w:p w14:paraId="081B2E3C">
            <w:pPr>
              <w:pStyle w:val="236"/>
              <w:widowControl w:val="0"/>
              <w:spacing w:before="78" w:after="156"/>
              <w:ind w:firstLine="0" w:firstLineChars="0"/>
              <w:jc w:val="center"/>
              <w:rPr>
                <w:rFonts w:ascii="Times New Roman" w:hAnsi="Times New Roman"/>
              </w:rPr>
            </w:pPr>
            <w:r>
              <w:rPr>
                <w:rFonts w:ascii="Times New Roman" w:hAnsi="Times New Roman"/>
                <w:sz w:val="18"/>
                <w:szCs w:val="18"/>
              </w:rPr>
              <w:t>波动深度限值%</w:t>
            </w:r>
          </w:p>
        </w:tc>
        <w:tc>
          <w:tcPr>
            <w:tcW w:w="1560" w:type="dxa"/>
            <w:tcBorders>
              <w:left w:val="single" w:color="auto" w:sz="12" w:space="0"/>
            </w:tcBorders>
            <w:vAlign w:val="center"/>
          </w:tcPr>
          <w:p w14:paraId="4DC0322E">
            <w:pPr>
              <w:pStyle w:val="236"/>
              <w:widowControl w:val="0"/>
              <w:spacing w:before="78" w:after="156"/>
              <w:ind w:firstLine="0" w:firstLineChars="0"/>
              <w:jc w:val="center"/>
              <w:rPr>
                <w:rFonts w:ascii="Times New Roman" w:hAnsi="Times New Roman"/>
              </w:rPr>
            </w:pPr>
            <w:r>
              <w:rPr>
                <w:rFonts w:ascii="Times New Roman" w:hAnsi="Times New Roman"/>
                <w:sz w:val="18"/>
                <w:szCs w:val="18"/>
              </w:rPr>
              <w:t>0.1</w:t>
            </w:r>
          </w:p>
        </w:tc>
        <w:tc>
          <w:tcPr>
            <w:tcW w:w="1842" w:type="dxa"/>
            <w:vAlign w:val="center"/>
          </w:tcPr>
          <w:p w14:paraId="4479490E">
            <w:pPr>
              <w:pStyle w:val="236"/>
              <w:widowControl w:val="0"/>
              <w:spacing w:before="78" w:after="156"/>
              <w:ind w:firstLine="0" w:firstLineChars="0"/>
              <w:jc w:val="center"/>
              <w:rPr>
                <w:rFonts w:ascii="Times New Roman" w:hAnsi="Times New Roman"/>
              </w:rPr>
            </w:pPr>
            <w:r>
              <w:rPr>
                <w:rFonts w:ascii="Times New Roman" w:hAnsi="Times New Roman"/>
                <w:i/>
                <w:iCs/>
                <w:sz w:val="18"/>
                <w:szCs w:val="18"/>
              </w:rPr>
              <w:t>f</w:t>
            </w:r>
            <w:r>
              <w:rPr>
                <w:rFonts w:ascii="Times New Roman" w:hAnsi="Times New Roman"/>
                <w:sz w:val="18"/>
                <w:szCs w:val="18"/>
              </w:rPr>
              <w:t>×0.01</w:t>
            </w:r>
          </w:p>
        </w:tc>
        <w:tc>
          <w:tcPr>
            <w:tcW w:w="1843" w:type="dxa"/>
            <w:vAlign w:val="center"/>
          </w:tcPr>
          <w:p w14:paraId="6063CAA4">
            <w:pPr>
              <w:pStyle w:val="236"/>
              <w:widowControl w:val="0"/>
              <w:spacing w:before="78" w:after="156"/>
              <w:ind w:firstLine="0" w:firstLineChars="0"/>
              <w:jc w:val="center"/>
              <w:rPr>
                <w:rFonts w:ascii="Times New Roman" w:hAnsi="Times New Roman"/>
                <w:i/>
                <w:iCs/>
                <w:sz w:val="18"/>
                <w:szCs w:val="18"/>
              </w:rPr>
            </w:pPr>
            <w:r>
              <w:rPr>
                <w:rFonts w:ascii="Times New Roman" w:hAnsi="Times New Roman"/>
                <w:i/>
                <w:iCs/>
                <w:sz w:val="18"/>
                <w:szCs w:val="18"/>
              </w:rPr>
              <w:t>f</w:t>
            </w:r>
            <w:r>
              <w:rPr>
                <w:rFonts w:ascii="Times New Roman" w:hAnsi="Times New Roman"/>
                <w:sz w:val="18"/>
                <w:szCs w:val="18"/>
              </w:rPr>
              <w:t>×0.032</w:t>
            </w:r>
          </w:p>
        </w:tc>
        <w:tc>
          <w:tcPr>
            <w:tcW w:w="2146" w:type="dxa"/>
            <w:vAlign w:val="center"/>
          </w:tcPr>
          <w:p w14:paraId="41DF11BC">
            <w:pPr>
              <w:pStyle w:val="236"/>
              <w:widowControl w:val="0"/>
              <w:spacing w:before="78" w:after="156"/>
              <w:ind w:firstLine="0" w:firstLineChars="0"/>
              <w:jc w:val="center"/>
              <w:rPr>
                <w:rFonts w:ascii="Times New Roman" w:hAnsi="Times New Roman"/>
              </w:rPr>
            </w:pPr>
            <w:r>
              <w:rPr>
                <w:rFonts w:ascii="Times New Roman" w:hAnsi="Times New Roman"/>
                <w:sz w:val="18"/>
                <w:szCs w:val="18"/>
              </w:rPr>
              <w:t>免除考核</w:t>
            </w:r>
          </w:p>
        </w:tc>
      </w:tr>
    </w:tbl>
    <w:p w14:paraId="0994076A">
      <w:pPr>
        <w:pStyle w:val="68"/>
        <w:spacing w:before="120" w:after="120"/>
        <w:rPr>
          <w:rFonts w:ascii="Times New Roman" w:eastAsia="宋体"/>
        </w:rPr>
      </w:pPr>
      <w:r>
        <w:rPr>
          <w:rFonts w:hint="eastAsia" w:ascii="Times New Roman" w:eastAsia="宋体"/>
        </w:rPr>
        <w:t xml:space="preserve">灯具相关色温应为3300 </w:t>
      </w:r>
      <w:r>
        <w:rPr>
          <w:rFonts w:ascii="Times New Roman" w:eastAsia="宋体"/>
        </w:rPr>
        <w:t>K～</w:t>
      </w:r>
      <w:r>
        <w:rPr>
          <w:rFonts w:hint="eastAsia" w:ascii="Times New Roman" w:eastAsia="宋体"/>
        </w:rPr>
        <w:t>5300 K，色容差应不高于5 SDCM，色坐标和色容差应符合附录A的要求。</w:t>
      </w:r>
    </w:p>
    <w:p w14:paraId="04A11F61">
      <w:pPr>
        <w:pStyle w:val="68"/>
        <w:spacing w:before="120" w:after="120"/>
        <w:rPr>
          <w:rFonts w:ascii="Times New Roman" w:eastAsia="宋体"/>
        </w:rPr>
      </w:pPr>
      <w:r>
        <w:rPr>
          <w:rFonts w:hint="eastAsia" w:ascii="Times New Roman" w:eastAsia="宋体"/>
        </w:rPr>
        <w:t>灯具一般显色指数Ra初始值应不低于80，特殊显色指数R9应不低于50，显色指数R1-R15宜不低于90。</w:t>
      </w:r>
    </w:p>
    <w:p w14:paraId="21693F6A">
      <w:pPr>
        <w:pStyle w:val="68"/>
        <w:spacing w:before="120" w:after="120"/>
        <w:rPr>
          <w:rFonts w:ascii="Times New Roman" w:eastAsia="宋体"/>
        </w:rPr>
      </w:pPr>
      <w:r>
        <w:rPr>
          <w:rFonts w:hint="eastAsia" w:ascii="Times New Roman" w:eastAsia="宋体"/>
        </w:rPr>
        <w:t>教室灯具的蓝光危害性应符合GB/Z 39942-2021规定的RG0等级，黑板灯具的蓝光危害性应符合GB/Z 39942-2021规定的RG0或RG1等级。灯具的光生物安全性应符合GB/T 20145规定的无危险类等级。</w:t>
      </w:r>
    </w:p>
    <w:p w14:paraId="26281157">
      <w:pPr>
        <w:pStyle w:val="68"/>
        <w:spacing w:before="120" w:after="120"/>
        <w:rPr>
          <w:rFonts w:ascii="Times New Roman" w:eastAsia="宋体"/>
        </w:rPr>
      </w:pPr>
      <w:r>
        <w:rPr>
          <w:rFonts w:hint="eastAsia" w:ascii="Times New Roman" w:eastAsia="宋体"/>
        </w:rPr>
        <w:t>灯具宜具备调光、调色或其它智能照明控制功能，宜具备数字网络接入功能。</w:t>
      </w:r>
    </w:p>
    <w:p w14:paraId="7146A975">
      <w:pPr>
        <w:pStyle w:val="68"/>
        <w:spacing w:before="120" w:after="120"/>
      </w:pPr>
      <w:r>
        <w:rPr>
          <w:rFonts w:hint="eastAsia" w:ascii="Times New Roman" w:eastAsia="宋体"/>
        </w:rPr>
        <w:t>灯具可使用有利于视力健康的产品，产品应符合相关标准要求，鼓励使用获得认证的相关产品。</w:t>
      </w:r>
    </w:p>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14:paraId="21CCDEFA">
      <w:pPr>
        <w:pStyle w:val="108"/>
        <w:spacing w:before="120" w:after="120"/>
      </w:pPr>
      <w:bookmarkStart w:id="135" w:name="_Toc23026"/>
      <w:r>
        <w:rPr>
          <w:rFonts w:hint="eastAsia"/>
        </w:rPr>
        <w:t>LED控制装置</w:t>
      </w:r>
      <w:bookmarkEnd w:id="135"/>
    </w:p>
    <w:p w14:paraId="1C11CF37">
      <w:pPr>
        <w:pStyle w:val="68"/>
        <w:spacing w:before="120" w:after="120"/>
        <w:rPr>
          <w:rFonts w:ascii="Times New Roman" w:eastAsia="宋体"/>
        </w:rPr>
      </w:pPr>
      <w:bookmarkStart w:id="136" w:name="_Toc29435"/>
      <w:bookmarkStart w:id="137" w:name="_Toc21834"/>
      <w:bookmarkStart w:id="138" w:name="_Toc12046"/>
      <w:bookmarkStart w:id="139" w:name="_Toc19651"/>
      <w:bookmarkStart w:id="140" w:name="_Toc12757"/>
      <w:bookmarkStart w:id="141" w:name="_Toc25938"/>
      <w:bookmarkStart w:id="142" w:name="_Toc6856"/>
      <w:bookmarkStart w:id="143" w:name="_Toc29128"/>
      <w:bookmarkStart w:id="144" w:name="_Toc10796"/>
      <w:bookmarkStart w:id="145" w:name="_Toc20746"/>
      <w:bookmarkStart w:id="146" w:name="_Toc25962"/>
      <w:bookmarkStart w:id="147" w:name="_Toc15707"/>
      <w:bookmarkStart w:id="148" w:name="_Toc23757"/>
      <w:bookmarkStart w:id="149" w:name="_Toc20274"/>
      <w:bookmarkStart w:id="150" w:name="_Toc17102"/>
      <w:r>
        <w:rPr>
          <w:rFonts w:hint="eastAsia" w:ascii="Times New Roman" w:eastAsia="宋体"/>
        </w:rPr>
        <w:t>LED控制装置应符合 GB/T 19510.1、</w:t>
      </w:r>
      <w:r>
        <w:rPr>
          <w:rFonts w:hint="eastAsia" w:ascii="Times New Roman" w:eastAsia="宋体"/>
          <w:color w:val="FF0000"/>
        </w:rPr>
        <w:t>GB/T 19510.</w:t>
      </w:r>
      <w:r>
        <w:rPr>
          <w:rFonts w:hint="eastAsia" w:ascii="Times New Roman" w:eastAsia="宋体"/>
          <w:color w:val="FF0000"/>
          <w:lang w:val="en-US" w:eastAsia="zh-CN"/>
        </w:rPr>
        <w:t>213</w:t>
      </w:r>
      <w:r>
        <w:rPr>
          <w:rFonts w:hint="eastAsia" w:ascii="Times New Roman" w:eastAsia="宋体"/>
        </w:rPr>
        <w:t>、GB/T 17743和GB 17625.1或上述标准等同的IEC</w:t>
      </w:r>
      <w:r>
        <w:rPr>
          <w:rFonts w:hint="eastAsia" w:ascii="Times New Roman" w:eastAsia="宋体"/>
          <w:lang w:val="en-US" w:eastAsia="zh-CN"/>
        </w:rPr>
        <w:t>或</w:t>
      </w:r>
      <w:r>
        <w:rPr>
          <w:rFonts w:hint="eastAsia" w:ascii="Times New Roman" w:eastAsia="宋体"/>
        </w:rPr>
        <w:t>EN标准的要求。</w:t>
      </w:r>
    </w:p>
    <w:p w14:paraId="18BE4F6A">
      <w:pPr>
        <w:pStyle w:val="68"/>
        <w:spacing w:before="120" w:after="120"/>
        <w:rPr>
          <w:rFonts w:ascii="Times New Roman" w:eastAsia="宋体"/>
        </w:rPr>
      </w:pPr>
      <w:r>
        <w:rPr>
          <w:rFonts w:hint="eastAsia" w:ascii="Times New Roman" w:eastAsia="宋体"/>
        </w:rPr>
        <w:t>列入国家强制性认证范围的LED控制装置应通过国家CCC产品认证，并取得CCC证书。</w:t>
      </w:r>
    </w:p>
    <w:p w14:paraId="37DCC7B3">
      <w:pPr>
        <w:pStyle w:val="68"/>
        <w:spacing w:before="120" w:after="120"/>
        <w:rPr>
          <w:rFonts w:ascii="Times New Roman" w:eastAsia="宋体"/>
        </w:rPr>
      </w:pPr>
      <w:r>
        <w:rPr>
          <w:rFonts w:hint="eastAsia" w:ascii="Times New Roman" w:eastAsia="宋体"/>
        </w:rPr>
        <w:t>LED控制装置宜采用隔离式。</w:t>
      </w:r>
    </w:p>
    <w:p w14:paraId="2F55CBF9">
      <w:pPr>
        <w:pStyle w:val="68"/>
        <w:spacing w:before="120" w:after="120"/>
        <w:rPr>
          <w:rFonts w:ascii="Times New Roman" w:eastAsia="宋体"/>
        </w:rPr>
      </w:pPr>
      <w:r>
        <w:rPr>
          <w:rFonts w:hint="eastAsia" w:ascii="Times New Roman" w:eastAsia="宋体"/>
        </w:rPr>
        <w:t>LED控制装置的功率因数应不小于0.95，总谐波失真应不大于10%。</w:t>
      </w:r>
    </w:p>
    <w:p w14:paraId="781BDE99">
      <w:pPr>
        <w:pStyle w:val="68"/>
        <w:spacing w:before="120" w:after="120"/>
        <w:rPr>
          <w:rFonts w:ascii="Times New Roman" w:eastAsia="宋体"/>
        </w:rPr>
      </w:pPr>
      <w:r>
        <w:rPr>
          <w:rFonts w:hint="eastAsia" w:ascii="Times New Roman" w:eastAsia="宋体"/>
        </w:rPr>
        <w:t>LED控制装置应耐久使用，应符合GB/T 24825-2022中第12章的要求。</w:t>
      </w:r>
    </w:p>
    <w:p w14:paraId="1DEB901B">
      <w:pPr>
        <w:pStyle w:val="68"/>
        <w:spacing w:before="120" w:after="120"/>
        <w:rPr>
          <w:rFonts w:ascii="Times New Roman" w:eastAsia="宋体"/>
        </w:rPr>
      </w:pPr>
      <w:r>
        <w:rPr>
          <w:rFonts w:hint="eastAsia" w:ascii="Times New Roman" w:eastAsia="宋体"/>
        </w:rPr>
        <w:t>LED控制装置宜具备调光、调色或其它智能照明控制功能，宜具备数字网络接入功能。</w:t>
      </w:r>
    </w:p>
    <w:p w14:paraId="3966FB9F">
      <w:pPr>
        <w:pStyle w:val="108"/>
        <w:spacing w:before="120" w:after="120"/>
      </w:pPr>
      <w:bookmarkStart w:id="151" w:name="_Toc8883"/>
      <w:r>
        <w:rPr>
          <w:rFonts w:hint="eastAsia"/>
        </w:rPr>
        <w:t>LED光源</w:t>
      </w:r>
      <w:bookmarkEnd w:id="151"/>
    </w:p>
    <w:p w14:paraId="51F46208">
      <w:pPr>
        <w:pStyle w:val="68"/>
        <w:spacing w:before="120" w:after="120"/>
        <w:rPr>
          <w:rFonts w:ascii="Times New Roman" w:eastAsia="宋体"/>
        </w:rPr>
      </w:pPr>
      <w:r>
        <w:rPr>
          <w:rFonts w:hint="eastAsia" w:ascii="Times New Roman" w:eastAsia="宋体"/>
        </w:rPr>
        <w:t>LED模块（光源）应符合GB/T 24819或等同的IEC和EN标准的要求。</w:t>
      </w:r>
    </w:p>
    <w:p w14:paraId="683120E5">
      <w:pPr>
        <w:pStyle w:val="68"/>
        <w:spacing w:before="120" w:after="120"/>
        <w:rPr>
          <w:rFonts w:ascii="Times New Roman" w:eastAsia="宋体"/>
        </w:rPr>
      </w:pPr>
      <w:r>
        <w:rPr>
          <w:rFonts w:hint="eastAsia" w:ascii="Times New Roman" w:eastAsia="宋体"/>
        </w:rPr>
        <w:t>LED模块（光源）应耐久使用，应符合GB/T 24823-2017中10.3的要求。</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0CF84250">
      <w:pPr>
        <w:pStyle w:val="107"/>
        <w:spacing w:before="240" w:after="240"/>
      </w:pPr>
      <w:bookmarkStart w:id="152" w:name="_Toc8978"/>
      <w:r>
        <w:rPr>
          <w:rFonts w:hint="eastAsia"/>
        </w:rPr>
        <w:t>荧光灯灯具技术要求</w:t>
      </w:r>
      <w:bookmarkEnd w:id="152"/>
    </w:p>
    <w:p w14:paraId="3E4D7183">
      <w:pPr>
        <w:pStyle w:val="108"/>
        <w:spacing w:before="120" w:after="120"/>
      </w:pPr>
      <w:bookmarkStart w:id="153" w:name="_Toc1340"/>
      <w:r>
        <w:rPr>
          <w:rFonts w:hint="eastAsia"/>
        </w:rPr>
        <w:t>灯具</w:t>
      </w:r>
      <w:bookmarkEnd w:id="153"/>
    </w:p>
    <w:p w14:paraId="38874298">
      <w:pPr>
        <w:pStyle w:val="68"/>
        <w:spacing w:before="120" w:after="120"/>
        <w:rPr>
          <w:rFonts w:ascii="Times New Roman" w:eastAsia="宋体"/>
        </w:rPr>
      </w:pPr>
      <w:r>
        <w:rPr>
          <w:rFonts w:hint="eastAsia" w:ascii="Times New Roman" w:eastAsia="宋体"/>
        </w:rPr>
        <w:t>灯具应符合GB/T 7000.1、GB/T 7000.201或GB/T 7000.202、GB/T 17743和GB 17625.1或上述标准等同的IEC和EN标准的要求。</w:t>
      </w:r>
    </w:p>
    <w:p w14:paraId="7D3ADB78">
      <w:pPr>
        <w:pStyle w:val="68"/>
        <w:spacing w:before="120" w:after="120"/>
        <w:rPr>
          <w:rFonts w:ascii="Times New Roman" w:eastAsia="宋体"/>
        </w:rPr>
      </w:pPr>
      <w:r>
        <w:rPr>
          <w:rFonts w:hint="eastAsia" w:ascii="Times New Roman" w:eastAsia="宋体"/>
        </w:rPr>
        <w:t>列入国家强制性认证范围的灯具应通过国家CCC产品认证，并取得CCC证书。</w:t>
      </w:r>
    </w:p>
    <w:p w14:paraId="7DFC7688">
      <w:pPr>
        <w:pStyle w:val="68"/>
        <w:spacing w:before="120" w:after="120"/>
        <w:rPr>
          <w:rFonts w:ascii="Times New Roman" w:eastAsia="宋体"/>
        </w:rPr>
      </w:pPr>
      <w:r>
        <w:rPr>
          <w:rFonts w:hint="eastAsia" w:ascii="Times New Roman" w:eastAsia="宋体"/>
        </w:rPr>
        <w:t>教室灯具效率应不低于70%，黑板灯具效率应不低于75%。</w:t>
      </w:r>
    </w:p>
    <w:p w14:paraId="0B3C30FC">
      <w:pPr>
        <w:pStyle w:val="68"/>
        <w:spacing w:before="120" w:after="120"/>
        <w:rPr>
          <w:rFonts w:ascii="Times New Roman" w:eastAsia="宋体"/>
        </w:rPr>
      </w:pPr>
      <w:r>
        <w:rPr>
          <w:rFonts w:hint="eastAsia" w:ascii="Times New Roman" w:eastAsia="宋体"/>
        </w:rPr>
        <w:t>教室灯具应不采用裸灯灯具，应采用蝙蝠翼对称配光灯具，教室灯具保护角应大于20°。</w:t>
      </w:r>
    </w:p>
    <w:p w14:paraId="0D200CED">
      <w:pPr>
        <w:pStyle w:val="68"/>
        <w:spacing w:before="120" w:after="120"/>
        <w:rPr>
          <w:rFonts w:ascii="Times New Roman" w:eastAsia="宋体"/>
        </w:rPr>
      </w:pPr>
      <w:r>
        <w:rPr>
          <w:rFonts w:hint="eastAsia" w:ascii="Times New Roman" w:eastAsia="宋体"/>
        </w:rPr>
        <w:t>教室灯具在满足教室照明质量指标和照明节能要求的前提下，宜采用向上半球发射光通量占总光通量30%-50%的灯具，提高教室空间的明亮程度。</w:t>
      </w:r>
    </w:p>
    <w:p w14:paraId="3301E6EE">
      <w:pPr>
        <w:pStyle w:val="68"/>
        <w:spacing w:before="120" w:after="120"/>
        <w:rPr>
          <w:rFonts w:ascii="Times New Roman" w:eastAsia="宋体"/>
        </w:rPr>
      </w:pPr>
      <w:r>
        <w:rPr>
          <w:rFonts w:hint="eastAsia" w:ascii="Times New Roman" w:eastAsia="宋体"/>
        </w:rPr>
        <w:t>黑板灯具C0-180平面的光学结构应是对称的，C90-270平面的光学结构应是非对称的。</w:t>
      </w:r>
    </w:p>
    <w:p w14:paraId="4D77980D">
      <w:pPr>
        <w:pStyle w:val="68"/>
        <w:spacing w:before="120" w:after="120"/>
        <w:rPr>
          <w:rFonts w:ascii="Times New Roman" w:eastAsia="宋体"/>
        </w:rPr>
      </w:pPr>
      <w:r>
        <w:rPr>
          <w:rFonts w:hint="eastAsia" w:ascii="Times New Roman" w:eastAsia="宋体"/>
        </w:rPr>
        <w:t>灯具壳体材料宜采用铝型材。非铝型材灯具壳体材料宜采用冷轧钢板，厚度应不低于0.4 mm。</w:t>
      </w:r>
    </w:p>
    <w:p w14:paraId="7B50BA2E">
      <w:pPr>
        <w:pStyle w:val="68"/>
        <w:spacing w:before="120" w:after="120"/>
        <w:rPr>
          <w:rFonts w:ascii="Times New Roman" w:eastAsia="宋体"/>
        </w:rPr>
      </w:pPr>
      <w:r>
        <w:rPr>
          <w:rFonts w:hint="eastAsia" w:ascii="Times New Roman" w:eastAsia="宋体"/>
        </w:rPr>
        <w:t>灯具反射器宜采用反射率85%以上以及不易吸附灰尘的材料。</w:t>
      </w:r>
    </w:p>
    <w:p w14:paraId="5F817A57">
      <w:pPr>
        <w:pStyle w:val="68"/>
        <w:spacing w:before="120" w:after="120"/>
        <w:rPr>
          <w:rFonts w:ascii="Times New Roman" w:eastAsia="宋体"/>
        </w:rPr>
      </w:pPr>
      <w:r>
        <w:rPr>
          <w:rFonts w:hint="eastAsia" w:ascii="Times New Roman" w:eastAsia="宋体"/>
        </w:rPr>
        <w:t>黑板灯具的投射角宜可调节。</w:t>
      </w:r>
    </w:p>
    <w:p w14:paraId="7AEF6D4F">
      <w:pPr>
        <w:pStyle w:val="68"/>
        <w:spacing w:before="120" w:after="120"/>
        <w:rPr>
          <w:rFonts w:ascii="Times New Roman" w:eastAsia="宋体"/>
        </w:rPr>
      </w:pPr>
      <w:r>
        <w:rPr>
          <w:rFonts w:hint="eastAsia" w:ascii="Times New Roman" w:eastAsia="宋体"/>
        </w:rPr>
        <w:t>灯具可使用有利于视力健康的产品，产品应符合相关标准要求，鼓励使用获得认证的相关产品。</w:t>
      </w:r>
    </w:p>
    <w:p w14:paraId="6D990C47">
      <w:pPr>
        <w:pStyle w:val="108"/>
        <w:spacing w:before="120" w:after="120"/>
      </w:pPr>
      <w:bookmarkStart w:id="154" w:name="_Toc7002"/>
      <w:r>
        <w:rPr>
          <w:rFonts w:hint="eastAsia"/>
        </w:rPr>
        <w:t>电子镇流器</w:t>
      </w:r>
      <w:bookmarkEnd w:id="154"/>
    </w:p>
    <w:p w14:paraId="21C2DCEA">
      <w:pPr>
        <w:pStyle w:val="68"/>
        <w:spacing w:before="120" w:after="120"/>
        <w:rPr>
          <w:rFonts w:ascii="Times New Roman" w:eastAsia="宋体"/>
        </w:rPr>
      </w:pPr>
      <w:r>
        <w:rPr>
          <w:rFonts w:hint="eastAsia" w:ascii="Times New Roman" w:eastAsia="宋体"/>
        </w:rPr>
        <w:t>电子镇流器应符合GB/T 19510.1、</w:t>
      </w:r>
      <w:r>
        <w:rPr>
          <w:rFonts w:hint="eastAsia" w:ascii="Times New Roman" w:eastAsia="宋体"/>
          <w:color w:val="FF0000"/>
        </w:rPr>
        <w:t>GB/T 19510.</w:t>
      </w:r>
      <w:r>
        <w:rPr>
          <w:rFonts w:hint="eastAsia" w:ascii="Times New Roman" w:eastAsia="宋体"/>
          <w:color w:val="FF0000"/>
          <w:lang w:val="en-US" w:eastAsia="zh-CN"/>
        </w:rPr>
        <w:t>203</w:t>
      </w:r>
      <w:r>
        <w:rPr>
          <w:rFonts w:hint="eastAsia" w:ascii="Times New Roman" w:eastAsia="宋体"/>
        </w:rPr>
        <w:t>、GB/T 17743和GB 17625.1或上述标准等同的IEC和EN标准的要求。</w:t>
      </w:r>
    </w:p>
    <w:p w14:paraId="2936534E">
      <w:pPr>
        <w:pStyle w:val="68"/>
        <w:spacing w:before="120" w:after="120"/>
        <w:rPr>
          <w:rFonts w:ascii="Times New Roman" w:eastAsia="宋体"/>
        </w:rPr>
      </w:pPr>
      <w:r>
        <w:rPr>
          <w:rFonts w:hint="eastAsia" w:ascii="Times New Roman" w:eastAsia="宋体"/>
        </w:rPr>
        <w:t>列入国家强制性认证范围的电子镇流器应通过国家CCC产品认证，并取得CCC证书。</w:t>
      </w:r>
    </w:p>
    <w:p w14:paraId="09AE7B9B">
      <w:pPr>
        <w:pStyle w:val="68"/>
        <w:spacing w:before="120" w:after="120"/>
        <w:rPr>
          <w:rFonts w:ascii="Times New Roman" w:eastAsia="宋体"/>
        </w:rPr>
      </w:pPr>
      <w:r>
        <w:rPr>
          <w:rFonts w:hint="eastAsia" w:ascii="Times New Roman" w:eastAsia="宋体"/>
        </w:rPr>
        <w:t>电子镇流器的输出频率应大于40 kHz。</w:t>
      </w:r>
    </w:p>
    <w:p w14:paraId="1796249F">
      <w:pPr>
        <w:pStyle w:val="68"/>
        <w:spacing w:before="120" w:after="120"/>
        <w:rPr>
          <w:rFonts w:ascii="Times New Roman" w:eastAsia="宋体"/>
        </w:rPr>
      </w:pPr>
      <w:r>
        <w:rPr>
          <w:rFonts w:hint="eastAsia" w:ascii="Times New Roman" w:eastAsia="宋体"/>
        </w:rPr>
        <w:t>电子镇流器的功率因数应不小于0.95，总谐波失真应不大于10%，灯电流波峰比应不大于1.5。</w:t>
      </w:r>
    </w:p>
    <w:p w14:paraId="1AF18884">
      <w:pPr>
        <w:pStyle w:val="68"/>
        <w:spacing w:before="120" w:after="120"/>
        <w:rPr>
          <w:rFonts w:ascii="Times New Roman" w:eastAsia="宋体"/>
        </w:rPr>
      </w:pPr>
      <w:r>
        <w:rPr>
          <w:rFonts w:hint="eastAsia" w:ascii="Times New Roman" w:eastAsia="宋体"/>
        </w:rPr>
        <w:t>电子镇流器应耐久使用，应符合GB/T 15144-2020中第15章的要求。</w:t>
      </w:r>
    </w:p>
    <w:p w14:paraId="5C396F8B">
      <w:pPr>
        <w:pStyle w:val="108"/>
        <w:spacing w:before="120" w:after="120"/>
      </w:pPr>
      <w:bookmarkStart w:id="155" w:name="_Toc12253"/>
      <w:r>
        <w:rPr>
          <w:rFonts w:hint="eastAsia"/>
        </w:rPr>
        <w:t>荧光灯光源</w:t>
      </w:r>
      <w:bookmarkEnd w:id="155"/>
    </w:p>
    <w:p w14:paraId="472255FE">
      <w:pPr>
        <w:pStyle w:val="68"/>
        <w:spacing w:before="120" w:after="120"/>
        <w:rPr>
          <w:rFonts w:ascii="Times New Roman" w:eastAsia="宋体"/>
        </w:rPr>
      </w:pPr>
      <w:r>
        <w:rPr>
          <w:rFonts w:hint="eastAsia" w:ascii="Times New Roman" w:eastAsia="宋体"/>
        </w:rPr>
        <w:t>光源宜采用直管形稀土三基色T8双端荧光灯，效能应不低于85 lm/W。</w:t>
      </w:r>
    </w:p>
    <w:p w14:paraId="1B7051CE">
      <w:pPr>
        <w:pStyle w:val="68"/>
        <w:spacing w:before="120" w:after="120"/>
        <w:rPr>
          <w:rFonts w:ascii="Times New Roman" w:eastAsia="宋体"/>
        </w:rPr>
      </w:pPr>
      <w:r>
        <w:rPr>
          <w:rFonts w:hint="eastAsia" w:ascii="Times New Roman" w:eastAsia="宋体"/>
        </w:rPr>
        <w:t>光源应符合GB/T 10682或等同的IEC和EN标准的要求，应符合GB 19043中2级或以上的要求。</w:t>
      </w:r>
    </w:p>
    <w:p w14:paraId="6A7C2EAE">
      <w:pPr>
        <w:pStyle w:val="68"/>
        <w:spacing w:before="120" w:after="120"/>
        <w:rPr>
          <w:rFonts w:ascii="Times New Roman" w:eastAsia="宋体"/>
        </w:rPr>
      </w:pPr>
      <w:r>
        <w:rPr>
          <w:rFonts w:hint="eastAsia" w:ascii="Times New Roman" w:eastAsia="宋体"/>
        </w:rPr>
        <w:t>光源2000 h光通维持率应不低于85%，光通维持率下降至70%的有效使用寿命应大于8000 h。</w:t>
      </w:r>
    </w:p>
    <w:p w14:paraId="2034E865">
      <w:pPr>
        <w:pStyle w:val="107"/>
        <w:spacing w:before="240" w:after="240"/>
      </w:pPr>
      <w:bookmarkStart w:id="156" w:name="_Toc1963"/>
      <w:r>
        <w:rPr>
          <w:rFonts w:hint="eastAsia"/>
        </w:rPr>
        <w:t>教室的照明质量和节能要求</w:t>
      </w:r>
      <w:bookmarkEnd w:id="156"/>
    </w:p>
    <w:p w14:paraId="24472331">
      <w:pPr>
        <w:pStyle w:val="108"/>
        <w:spacing w:before="120" w:after="120"/>
        <w:rPr>
          <w:rFonts w:ascii="Times New Roman" w:eastAsia="宋体"/>
        </w:rPr>
      </w:pPr>
      <w:bookmarkStart w:id="157" w:name="_Toc12909"/>
      <w:r>
        <w:rPr>
          <w:rFonts w:ascii="Times New Roman" w:eastAsia="宋体"/>
        </w:rPr>
        <w:t>普通教室课桌面的维持平均照度应不低于300 lx，宜不低于500 lx。课桌面照度均匀度应不低于0.7。其它场所教室的维持平均照度和照度均匀度要求见表2。</w:t>
      </w:r>
      <w:bookmarkEnd w:id="157"/>
    </w:p>
    <w:p w14:paraId="5F36E2A9">
      <w:pPr>
        <w:pStyle w:val="108"/>
        <w:spacing w:before="120" w:after="120"/>
        <w:rPr>
          <w:rFonts w:ascii="Times New Roman" w:eastAsia="宋体"/>
        </w:rPr>
      </w:pPr>
      <w:bookmarkStart w:id="158" w:name="_Toc1301"/>
      <w:r>
        <w:rPr>
          <w:rFonts w:ascii="Times New Roman" w:eastAsia="宋体"/>
        </w:rPr>
        <w:t>教室黑板应设黑板灯具，其维持平均照度应不低于500 lx，宜不低于750 lx。黑板照度均匀度应不低于0.8。</w:t>
      </w:r>
      <w:bookmarkEnd w:id="158"/>
    </w:p>
    <w:p w14:paraId="66AEE408">
      <w:pPr>
        <w:pStyle w:val="108"/>
        <w:spacing w:before="120" w:after="120"/>
        <w:rPr>
          <w:rFonts w:ascii="Times New Roman" w:eastAsia="宋体"/>
        </w:rPr>
      </w:pPr>
      <w:bookmarkStart w:id="159" w:name="_Toc6149"/>
      <w:r>
        <w:rPr>
          <w:rFonts w:ascii="Times New Roman" w:eastAsia="宋体"/>
        </w:rPr>
        <w:t>教室的统一眩光值应不大于19，宜不大于16。</w:t>
      </w:r>
      <w:bookmarkEnd w:id="159"/>
    </w:p>
    <w:p w14:paraId="1119EE17">
      <w:pPr>
        <w:pStyle w:val="108"/>
        <w:spacing w:before="120" w:after="120"/>
        <w:rPr>
          <w:rFonts w:ascii="Times New Roman" w:eastAsia="宋体"/>
        </w:rPr>
      </w:pPr>
      <w:bookmarkStart w:id="160" w:name="_Toc29548"/>
      <w:r>
        <w:rPr>
          <w:rFonts w:ascii="Times New Roman" w:eastAsia="宋体"/>
        </w:rPr>
        <w:t>教室的照明节能要求应符合表2中照明功率密度的规定；教室照明系统宜采用智能化手段，通过控制面板或远程控制实现教室照明自动开关、场景切换、照度或色温调节、智能联动、智慧管理等功能，不断降低教室照明的整体能耗。</w:t>
      </w:r>
      <w:bookmarkEnd w:id="160"/>
    </w:p>
    <w:p w14:paraId="56AA56F9">
      <w:pPr>
        <w:pStyle w:val="108"/>
        <w:spacing w:before="120" w:after="120"/>
        <w:rPr>
          <w:rFonts w:ascii="Times New Roman" w:eastAsia="宋体"/>
          <w:color w:val="FF0000"/>
        </w:rPr>
      </w:pPr>
      <w:bookmarkStart w:id="161" w:name="_Toc17858"/>
      <w:r>
        <w:rPr>
          <w:rFonts w:hint="eastAsia" w:ascii="Times New Roman" w:eastAsia="宋体"/>
          <w:color w:val="FF0000"/>
          <w:lang w:eastAsia="zh-CN"/>
        </w:rPr>
        <w:t>教室的照明环境应优先提高自然光利用率，白天应打开教室窗帘；人工照明</w:t>
      </w:r>
      <w:r>
        <w:rPr>
          <w:rFonts w:ascii="Times New Roman" w:eastAsia="宋体"/>
          <w:color w:val="FF0000"/>
        </w:rPr>
        <w:t>在满足教室照明质量指标和照明节能要求的前提下，宜通过间接照明提高教室顶部的照度和整体空间明亮程度。</w:t>
      </w:r>
      <w:bookmarkEnd w:id="161"/>
    </w:p>
    <w:p w14:paraId="26FD6037">
      <w:pPr>
        <w:pStyle w:val="108"/>
        <w:spacing w:before="120" w:after="120"/>
        <w:rPr>
          <w:rFonts w:ascii="Times New Roman" w:eastAsia="宋体"/>
        </w:rPr>
      </w:pPr>
      <w:bookmarkStart w:id="162" w:name="_Toc32140"/>
      <w:r>
        <w:rPr>
          <w:rFonts w:ascii="Times New Roman" w:eastAsia="宋体"/>
        </w:rPr>
        <w:t>各场所的照度参考平面、相关色温、显色指数和波动深度要求见表2。</w:t>
      </w:r>
      <w:bookmarkEnd w:id="162"/>
    </w:p>
    <w:p w14:paraId="20B44043">
      <w:pPr>
        <w:pStyle w:val="108"/>
        <w:spacing w:before="120" w:after="120"/>
        <w:rPr>
          <w:rFonts w:ascii="Times New Roman" w:eastAsia="宋体"/>
        </w:rPr>
      </w:pPr>
      <w:bookmarkStart w:id="163" w:name="_Toc29871"/>
      <w:r>
        <w:rPr>
          <w:rFonts w:ascii="Times New Roman" w:eastAsia="宋体"/>
        </w:rPr>
        <w:t>照明设计计算维持平均照度时，维护系数应取0.8。</w:t>
      </w:r>
      <w:bookmarkEnd w:id="163"/>
    </w:p>
    <w:p w14:paraId="3D6E1433">
      <w:pPr>
        <w:pStyle w:val="108"/>
        <w:spacing w:before="120" w:after="120"/>
        <w:rPr>
          <w:rFonts w:ascii="Times New Roman" w:eastAsia="宋体"/>
        </w:rPr>
      </w:pPr>
      <w:bookmarkStart w:id="164" w:name="_Toc17728"/>
      <w:r>
        <w:rPr>
          <w:rFonts w:ascii="Times New Roman" w:eastAsia="宋体"/>
        </w:rPr>
        <w:t>教室宜采用眼部垂直照度和统一眩光值的目标值，保证整体空间明亮程度</w:t>
      </w:r>
      <w:r>
        <w:rPr>
          <w:rFonts w:hint="eastAsia" w:ascii="Times New Roman" w:eastAsia="宋体"/>
        </w:rPr>
        <w:t>，要求见表2</w:t>
      </w:r>
      <w:r>
        <w:rPr>
          <w:rFonts w:ascii="Times New Roman" w:eastAsia="宋体"/>
        </w:rPr>
        <w:t>。</w:t>
      </w:r>
      <w:bookmarkEnd w:id="164"/>
    </w:p>
    <w:p w14:paraId="27B92DC3">
      <w:pPr>
        <w:pStyle w:val="108"/>
        <w:spacing w:before="120" w:after="120"/>
        <w:rPr>
          <w:rFonts w:ascii="Times New Roman" w:eastAsia="宋体"/>
        </w:rPr>
      </w:pPr>
      <w:bookmarkStart w:id="165" w:name="_Toc8065"/>
      <w:r>
        <w:rPr>
          <w:rFonts w:ascii="Times New Roman" w:eastAsia="宋体"/>
        </w:rPr>
        <w:t>兼顾白天和夜间长期使用的教室，宜考虑光的非视觉生物效应。白天使用时，视黑素响应日光（D65）等效照度m-EDI</w:t>
      </w:r>
      <w:r>
        <w:rPr>
          <w:rFonts w:ascii="Times New Roman" w:eastAsia="宋体"/>
          <w:color w:val="FF0000"/>
        </w:rPr>
        <w:t>宜不低于</w:t>
      </w:r>
      <w:r>
        <w:rPr>
          <w:rFonts w:hint="eastAsia" w:ascii="Times New Roman" w:eastAsia="宋体"/>
          <w:color w:val="FF0000"/>
          <w:lang w:val="en-US" w:eastAsia="zh-CN"/>
        </w:rPr>
        <w:t>150</w:t>
      </w:r>
      <w:r>
        <w:rPr>
          <w:rFonts w:ascii="Times New Roman" w:eastAsia="宋体"/>
          <w:color w:val="FF0000"/>
        </w:rPr>
        <w:t xml:space="preserve"> lx</w:t>
      </w:r>
      <w:r>
        <w:rPr>
          <w:rFonts w:ascii="Times New Roman" w:eastAsia="宋体"/>
        </w:rPr>
        <w:t>。夜间使用时，相关色温宜不高于4000 K。</w:t>
      </w:r>
      <w:bookmarkEnd w:id="165"/>
    </w:p>
    <w:p w14:paraId="6CEEF077">
      <w:pPr>
        <w:pStyle w:val="115"/>
        <w:spacing w:before="120" w:after="120"/>
        <w:rPr>
          <w:rFonts w:hint="eastAsia" w:hAnsi="黑体"/>
          <w:szCs w:val="22"/>
          <w:lang w:bidi="ar"/>
        </w:rPr>
      </w:pPr>
      <w:r>
        <w:rPr>
          <w:rFonts w:hint="eastAsia" w:hAnsi="黑体"/>
          <w:szCs w:val="22"/>
          <w:lang w:bidi="ar"/>
        </w:rPr>
        <w:t>中小学校教室照明质量和节能要求</w:t>
      </w:r>
    </w:p>
    <w:tbl>
      <w:tblPr>
        <w:tblStyle w:val="28"/>
        <w:tblW w:w="11147" w:type="dxa"/>
        <w:tblInd w:w="-65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51"/>
        <w:gridCol w:w="628"/>
        <w:gridCol w:w="628"/>
        <w:gridCol w:w="629"/>
        <w:gridCol w:w="629"/>
        <w:gridCol w:w="629"/>
        <w:gridCol w:w="629"/>
        <w:gridCol w:w="659"/>
        <w:gridCol w:w="659"/>
        <w:gridCol w:w="629"/>
        <w:gridCol w:w="629"/>
        <w:gridCol w:w="629"/>
        <w:gridCol w:w="629"/>
        <w:gridCol w:w="666"/>
        <w:gridCol w:w="629"/>
        <w:gridCol w:w="670"/>
        <w:gridCol w:w="625"/>
      </w:tblGrid>
      <w:tr w14:paraId="667B72F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397" w:hRule="atLeast"/>
        </w:trPr>
        <w:tc>
          <w:tcPr>
            <w:tcW w:w="951" w:type="dxa"/>
            <w:vMerge w:val="restart"/>
            <w:tcBorders>
              <w:top w:val="single" w:color="auto" w:sz="12" w:space="0"/>
              <w:bottom w:val="single" w:color="auto" w:sz="12" w:space="0"/>
            </w:tcBorders>
            <w:vAlign w:val="center"/>
          </w:tcPr>
          <w:p w14:paraId="1133D38E">
            <w:pPr>
              <w:tabs>
                <w:tab w:val="center" w:pos="4201"/>
                <w:tab w:val="right" w:leader="dot" w:pos="9298"/>
              </w:tabs>
              <w:autoSpaceDE w:val="0"/>
              <w:autoSpaceDN w:val="0"/>
              <w:adjustRightInd/>
              <w:spacing w:line="240" w:lineRule="auto"/>
              <w:jc w:val="center"/>
              <w:rPr>
                <w:rFonts w:ascii="Times New Roman" w:hAnsi="Times New Roman"/>
                <w:kern w:val="0"/>
                <w:szCs w:val="20"/>
              </w:rPr>
            </w:pPr>
            <w:r>
              <w:rPr>
                <w:rFonts w:ascii="Times New Roman" w:hAnsi="Times New Roman"/>
                <w:kern w:val="0"/>
                <w:sz w:val="18"/>
                <w:szCs w:val="18"/>
              </w:rPr>
              <w:t>场所</w:t>
            </w:r>
            <w:r>
              <w:rPr>
                <w:rFonts w:ascii="Times New Roman" w:hAnsi="Times New Roman"/>
                <w:kern w:val="0"/>
                <w:sz w:val="18"/>
                <w:szCs w:val="18"/>
                <w:vertAlign w:val="superscript"/>
              </w:rPr>
              <w:t>a</w:t>
            </w:r>
          </w:p>
        </w:tc>
        <w:tc>
          <w:tcPr>
            <w:tcW w:w="1256" w:type="dxa"/>
            <w:gridSpan w:val="2"/>
            <w:vMerge w:val="restart"/>
            <w:tcBorders>
              <w:top w:val="single" w:color="auto" w:sz="12" w:space="0"/>
              <w:bottom w:val="single" w:color="auto" w:sz="4" w:space="0"/>
            </w:tcBorders>
            <w:vAlign w:val="center"/>
          </w:tcPr>
          <w:p w14:paraId="0FC2F925">
            <w:pPr>
              <w:tabs>
                <w:tab w:val="center" w:pos="4201"/>
                <w:tab w:val="right" w:leader="dot" w:pos="9298"/>
              </w:tabs>
              <w:autoSpaceDE w:val="0"/>
              <w:autoSpaceDN w:val="0"/>
              <w:adjustRightInd/>
              <w:spacing w:line="240" w:lineRule="auto"/>
              <w:jc w:val="center"/>
              <w:rPr>
                <w:rFonts w:ascii="Times New Roman" w:hAnsi="Times New Roman"/>
                <w:kern w:val="0"/>
                <w:szCs w:val="20"/>
              </w:rPr>
            </w:pPr>
            <w:r>
              <w:rPr>
                <w:rFonts w:ascii="Times New Roman" w:hAnsi="Times New Roman"/>
                <w:kern w:val="0"/>
                <w:sz w:val="18"/>
                <w:szCs w:val="18"/>
              </w:rPr>
              <w:t>维持平均照度（lx）</w:t>
            </w:r>
          </w:p>
        </w:tc>
        <w:tc>
          <w:tcPr>
            <w:tcW w:w="1258" w:type="dxa"/>
            <w:gridSpan w:val="2"/>
            <w:vMerge w:val="restart"/>
            <w:tcBorders>
              <w:top w:val="single" w:color="auto" w:sz="12" w:space="0"/>
            </w:tcBorders>
            <w:vAlign w:val="center"/>
          </w:tcPr>
          <w:p w14:paraId="507641E2">
            <w:pPr>
              <w:tabs>
                <w:tab w:val="center" w:pos="4201"/>
                <w:tab w:val="right" w:leader="dot" w:pos="9298"/>
              </w:tabs>
              <w:autoSpaceDE w:val="0"/>
              <w:autoSpaceDN w:val="0"/>
              <w:adjustRightInd/>
              <w:spacing w:line="240" w:lineRule="auto"/>
              <w:jc w:val="center"/>
              <w:rPr>
                <w:rFonts w:ascii="Times New Roman" w:hAnsi="Times New Roman"/>
                <w:kern w:val="0"/>
                <w:sz w:val="18"/>
                <w:szCs w:val="18"/>
              </w:rPr>
            </w:pPr>
            <w:r>
              <w:rPr>
                <w:rFonts w:ascii="Times New Roman" w:hAnsi="Times New Roman"/>
                <w:kern w:val="0"/>
                <w:sz w:val="18"/>
                <w:szCs w:val="18"/>
              </w:rPr>
              <w:t>眼部垂直照度（lx）</w:t>
            </w:r>
            <w:r>
              <w:rPr>
                <w:rFonts w:ascii="Times New Roman" w:hAnsi="Times New Roman"/>
                <w:kern w:val="0"/>
                <w:sz w:val="18"/>
                <w:szCs w:val="18"/>
                <w:vertAlign w:val="superscript"/>
              </w:rPr>
              <w:t>b</w:t>
            </w:r>
          </w:p>
        </w:tc>
        <w:tc>
          <w:tcPr>
            <w:tcW w:w="1258" w:type="dxa"/>
            <w:gridSpan w:val="2"/>
            <w:vMerge w:val="restart"/>
            <w:tcBorders>
              <w:top w:val="single" w:color="auto" w:sz="12" w:space="0"/>
              <w:bottom w:val="single" w:color="auto" w:sz="4" w:space="0"/>
            </w:tcBorders>
            <w:vAlign w:val="center"/>
          </w:tcPr>
          <w:p w14:paraId="285A33B5">
            <w:pPr>
              <w:tabs>
                <w:tab w:val="center" w:pos="4201"/>
                <w:tab w:val="right" w:leader="dot" w:pos="9298"/>
              </w:tabs>
              <w:autoSpaceDE w:val="0"/>
              <w:autoSpaceDN w:val="0"/>
              <w:adjustRightInd/>
              <w:spacing w:line="240" w:lineRule="auto"/>
              <w:jc w:val="center"/>
              <w:rPr>
                <w:rFonts w:ascii="Times New Roman" w:hAnsi="Times New Roman"/>
                <w:kern w:val="0"/>
                <w:szCs w:val="20"/>
              </w:rPr>
            </w:pPr>
            <w:r>
              <w:rPr>
                <w:rFonts w:ascii="Times New Roman" w:hAnsi="Times New Roman"/>
                <w:kern w:val="0"/>
                <w:sz w:val="18"/>
                <w:szCs w:val="18"/>
              </w:rPr>
              <w:t>统一眩光值</w:t>
            </w:r>
          </w:p>
        </w:tc>
        <w:tc>
          <w:tcPr>
            <w:tcW w:w="1318" w:type="dxa"/>
            <w:gridSpan w:val="2"/>
            <w:vMerge w:val="restart"/>
            <w:tcBorders>
              <w:top w:val="single" w:color="auto" w:sz="12" w:space="0"/>
              <w:bottom w:val="single" w:color="auto" w:sz="4" w:space="0"/>
            </w:tcBorders>
            <w:vAlign w:val="center"/>
          </w:tcPr>
          <w:p w14:paraId="5B55AC2B">
            <w:pPr>
              <w:tabs>
                <w:tab w:val="center" w:pos="4201"/>
                <w:tab w:val="right" w:leader="dot" w:pos="9298"/>
              </w:tabs>
              <w:autoSpaceDE w:val="0"/>
              <w:autoSpaceDN w:val="0"/>
              <w:adjustRightInd/>
              <w:spacing w:line="240" w:lineRule="auto"/>
              <w:jc w:val="center"/>
              <w:rPr>
                <w:rFonts w:ascii="Times New Roman" w:hAnsi="Times New Roman"/>
                <w:kern w:val="0"/>
                <w:szCs w:val="20"/>
              </w:rPr>
            </w:pPr>
            <w:r>
              <w:rPr>
                <w:rFonts w:ascii="Times New Roman" w:hAnsi="Times New Roman"/>
                <w:kern w:val="0"/>
                <w:sz w:val="18"/>
                <w:szCs w:val="18"/>
              </w:rPr>
              <w:t>显色指数</w:t>
            </w:r>
            <w:r>
              <w:rPr>
                <w:rFonts w:ascii="Times New Roman" w:hAnsi="Times New Roman"/>
                <w:kern w:val="0"/>
                <w:sz w:val="18"/>
                <w:szCs w:val="18"/>
                <w:vertAlign w:val="superscript"/>
              </w:rPr>
              <w:t>c</w:t>
            </w:r>
          </w:p>
        </w:tc>
        <w:tc>
          <w:tcPr>
            <w:tcW w:w="2516" w:type="dxa"/>
            <w:gridSpan w:val="4"/>
            <w:tcBorders>
              <w:top w:val="single" w:color="auto" w:sz="12" w:space="0"/>
              <w:bottom w:val="single" w:color="auto" w:sz="4" w:space="0"/>
            </w:tcBorders>
            <w:vAlign w:val="center"/>
          </w:tcPr>
          <w:p w14:paraId="649B5C7C">
            <w:pPr>
              <w:adjustRightInd/>
              <w:spacing w:line="240" w:lineRule="auto"/>
              <w:ind w:right="125"/>
              <w:jc w:val="center"/>
              <w:rPr>
                <w:rFonts w:ascii="Times New Roman" w:hAnsi="Times New Roman"/>
                <w:sz w:val="18"/>
                <w:szCs w:val="18"/>
              </w:rPr>
            </w:pPr>
            <w:r>
              <w:rPr>
                <w:rFonts w:ascii="Times New Roman" w:hAnsi="Times New Roman"/>
                <w:sz w:val="18"/>
                <w:szCs w:val="18"/>
              </w:rPr>
              <w:t>照明功率密度</w:t>
            </w:r>
            <w:r>
              <w:rPr>
                <w:rFonts w:ascii="Times New Roman" w:hAnsi="Times New Roman"/>
                <w:sz w:val="18"/>
                <w:szCs w:val="18"/>
                <w:vertAlign w:val="superscript"/>
              </w:rPr>
              <w:t>d</w:t>
            </w:r>
          </w:p>
          <w:p w14:paraId="0E8C6181">
            <w:pPr>
              <w:tabs>
                <w:tab w:val="center" w:pos="4201"/>
                <w:tab w:val="right" w:leader="dot" w:pos="9298"/>
              </w:tabs>
              <w:autoSpaceDE w:val="0"/>
              <w:autoSpaceDN w:val="0"/>
              <w:adjustRightInd/>
              <w:spacing w:line="240" w:lineRule="auto"/>
              <w:jc w:val="center"/>
              <w:rPr>
                <w:rFonts w:ascii="Times New Roman" w:hAnsi="Times New Roman"/>
                <w:kern w:val="0"/>
                <w:szCs w:val="20"/>
              </w:rPr>
            </w:pPr>
            <w:r>
              <w:rPr>
                <w:rFonts w:ascii="Times New Roman" w:hAnsi="Times New Roman"/>
                <w:kern w:val="0"/>
                <w:sz w:val="18"/>
                <w:szCs w:val="18"/>
              </w:rPr>
              <w:t>（W/m</w:t>
            </w:r>
            <w:r>
              <w:rPr>
                <w:rFonts w:ascii="Times New Roman" w:hAnsi="Times New Roman"/>
                <w:kern w:val="0"/>
                <w:sz w:val="18"/>
                <w:szCs w:val="18"/>
                <w:vertAlign w:val="superscript"/>
              </w:rPr>
              <w:t>2</w:t>
            </w:r>
            <w:r>
              <w:rPr>
                <w:rFonts w:ascii="Times New Roman" w:hAnsi="Times New Roman"/>
                <w:kern w:val="0"/>
                <w:sz w:val="18"/>
                <w:szCs w:val="18"/>
              </w:rPr>
              <w:t>）</w:t>
            </w:r>
          </w:p>
        </w:tc>
        <w:tc>
          <w:tcPr>
            <w:tcW w:w="666" w:type="dxa"/>
            <w:vMerge w:val="restart"/>
            <w:tcBorders>
              <w:top w:val="single" w:color="auto" w:sz="12" w:space="0"/>
              <w:bottom w:val="single" w:color="auto" w:sz="4" w:space="0"/>
            </w:tcBorders>
            <w:vAlign w:val="center"/>
          </w:tcPr>
          <w:p w14:paraId="747E202F">
            <w:pPr>
              <w:tabs>
                <w:tab w:val="center" w:pos="4201"/>
                <w:tab w:val="right" w:leader="dot" w:pos="9298"/>
              </w:tabs>
              <w:autoSpaceDE w:val="0"/>
              <w:autoSpaceDN w:val="0"/>
              <w:adjustRightInd/>
              <w:spacing w:line="240" w:lineRule="auto"/>
              <w:jc w:val="center"/>
              <w:rPr>
                <w:rFonts w:ascii="Times New Roman" w:hAnsi="Times New Roman"/>
                <w:kern w:val="0"/>
                <w:szCs w:val="20"/>
              </w:rPr>
            </w:pPr>
            <w:r>
              <w:rPr>
                <w:rFonts w:ascii="Times New Roman" w:hAnsi="Times New Roman"/>
                <w:kern w:val="0"/>
                <w:sz w:val="18"/>
                <w:szCs w:val="18"/>
              </w:rPr>
              <w:t>参考平面及其高度</w:t>
            </w:r>
          </w:p>
        </w:tc>
        <w:tc>
          <w:tcPr>
            <w:tcW w:w="629" w:type="dxa"/>
            <w:vMerge w:val="restart"/>
            <w:tcBorders>
              <w:top w:val="single" w:color="auto" w:sz="12" w:space="0"/>
              <w:bottom w:val="single" w:color="auto" w:sz="4" w:space="0"/>
            </w:tcBorders>
            <w:vAlign w:val="center"/>
          </w:tcPr>
          <w:p w14:paraId="227FE8A0">
            <w:pPr>
              <w:tabs>
                <w:tab w:val="center" w:pos="4201"/>
                <w:tab w:val="right" w:leader="dot" w:pos="9298"/>
              </w:tabs>
              <w:autoSpaceDE w:val="0"/>
              <w:autoSpaceDN w:val="0"/>
              <w:adjustRightInd/>
              <w:spacing w:line="240" w:lineRule="auto"/>
              <w:jc w:val="center"/>
              <w:rPr>
                <w:rFonts w:ascii="Times New Roman" w:hAnsi="Times New Roman"/>
                <w:kern w:val="0"/>
                <w:szCs w:val="20"/>
              </w:rPr>
            </w:pPr>
            <w:r>
              <w:rPr>
                <w:rFonts w:ascii="Times New Roman" w:hAnsi="Times New Roman"/>
                <w:kern w:val="0"/>
                <w:sz w:val="18"/>
                <w:szCs w:val="18"/>
              </w:rPr>
              <w:t>照度均匀度</w:t>
            </w:r>
            <w:r>
              <w:rPr>
                <w:rFonts w:ascii="Times New Roman" w:hAnsi="Times New Roman"/>
                <w:kern w:val="0"/>
                <w:sz w:val="18"/>
                <w:szCs w:val="18"/>
                <w:vertAlign w:val="superscript"/>
              </w:rPr>
              <w:t>e</w:t>
            </w:r>
          </w:p>
        </w:tc>
        <w:tc>
          <w:tcPr>
            <w:tcW w:w="670" w:type="dxa"/>
            <w:vMerge w:val="restart"/>
            <w:tcBorders>
              <w:top w:val="single" w:color="auto" w:sz="12" w:space="0"/>
              <w:bottom w:val="single" w:color="auto" w:sz="4" w:space="0"/>
            </w:tcBorders>
            <w:vAlign w:val="center"/>
          </w:tcPr>
          <w:p w14:paraId="2D8112CF">
            <w:pPr>
              <w:adjustRightInd/>
              <w:spacing w:line="240" w:lineRule="auto"/>
              <w:ind w:right="125"/>
              <w:jc w:val="center"/>
              <w:rPr>
                <w:rFonts w:ascii="Times New Roman" w:hAnsi="Times New Roman"/>
                <w:sz w:val="18"/>
                <w:szCs w:val="18"/>
              </w:rPr>
            </w:pPr>
            <w:r>
              <w:rPr>
                <w:rFonts w:ascii="Times New Roman" w:hAnsi="Times New Roman"/>
                <w:sz w:val="18"/>
                <w:szCs w:val="18"/>
              </w:rPr>
              <w:t>相关色温</w:t>
            </w:r>
          </w:p>
          <w:p w14:paraId="179695F3">
            <w:pPr>
              <w:tabs>
                <w:tab w:val="center" w:pos="4201"/>
                <w:tab w:val="right" w:leader="dot" w:pos="9298"/>
              </w:tabs>
              <w:autoSpaceDE w:val="0"/>
              <w:autoSpaceDN w:val="0"/>
              <w:adjustRightInd/>
              <w:spacing w:line="240" w:lineRule="auto"/>
              <w:jc w:val="center"/>
              <w:rPr>
                <w:rFonts w:ascii="Times New Roman" w:hAnsi="Times New Roman"/>
                <w:kern w:val="0"/>
                <w:szCs w:val="20"/>
              </w:rPr>
            </w:pPr>
            <w:r>
              <w:rPr>
                <w:rFonts w:ascii="Times New Roman" w:hAnsi="Times New Roman"/>
                <w:kern w:val="0"/>
                <w:sz w:val="18"/>
                <w:szCs w:val="18"/>
              </w:rPr>
              <w:t>（K）</w:t>
            </w:r>
          </w:p>
        </w:tc>
        <w:tc>
          <w:tcPr>
            <w:tcW w:w="625" w:type="dxa"/>
            <w:vMerge w:val="restart"/>
            <w:tcBorders>
              <w:top w:val="single" w:color="auto" w:sz="12" w:space="0"/>
              <w:bottom w:val="single" w:color="auto" w:sz="4" w:space="0"/>
            </w:tcBorders>
            <w:vAlign w:val="center"/>
          </w:tcPr>
          <w:p w14:paraId="4A590802">
            <w:pPr>
              <w:tabs>
                <w:tab w:val="center" w:pos="4201"/>
                <w:tab w:val="right" w:leader="dot" w:pos="9298"/>
              </w:tabs>
              <w:autoSpaceDE w:val="0"/>
              <w:autoSpaceDN w:val="0"/>
              <w:adjustRightInd/>
              <w:spacing w:line="240" w:lineRule="auto"/>
              <w:jc w:val="center"/>
              <w:rPr>
                <w:rFonts w:ascii="Times New Roman" w:hAnsi="Times New Roman"/>
                <w:kern w:val="0"/>
                <w:szCs w:val="20"/>
              </w:rPr>
            </w:pPr>
            <w:r>
              <w:rPr>
                <w:rFonts w:ascii="Times New Roman" w:hAnsi="Times New Roman"/>
                <w:kern w:val="0"/>
                <w:sz w:val="18"/>
                <w:szCs w:val="18"/>
              </w:rPr>
              <w:t>波动深度</w:t>
            </w:r>
          </w:p>
        </w:tc>
      </w:tr>
      <w:tr w14:paraId="0E03495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51" w:type="dxa"/>
            <w:vMerge w:val="continue"/>
            <w:tcBorders>
              <w:top w:val="single" w:color="auto" w:sz="4" w:space="0"/>
              <w:bottom w:val="single" w:color="auto" w:sz="12" w:space="0"/>
            </w:tcBorders>
          </w:tcPr>
          <w:p w14:paraId="5D836374">
            <w:pPr>
              <w:tabs>
                <w:tab w:val="center" w:pos="4201"/>
                <w:tab w:val="right" w:leader="dot" w:pos="9298"/>
              </w:tabs>
              <w:autoSpaceDE w:val="0"/>
              <w:autoSpaceDN w:val="0"/>
              <w:adjustRightInd/>
              <w:spacing w:line="240" w:lineRule="auto"/>
              <w:jc w:val="center"/>
              <w:rPr>
                <w:rFonts w:ascii="Times New Roman" w:hAnsi="Times New Roman"/>
                <w:kern w:val="0"/>
                <w:szCs w:val="20"/>
              </w:rPr>
            </w:pPr>
          </w:p>
        </w:tc>
        <w:tc>
          <w:tcPr>
            <w:tcW w:w="1256" w:type="dxa"/>
            <w:gridSpan w:val="2"/>
            <w:vMerge w:val="continue"/>
            <w:tcBorders>
              <w:top w:val="single" w:color="auto" w:sz="4" w:space="0"/>
              <w:bottom w:val="single" w:color="auto" w:sz="4" w:space="0"/>
            </w:tcBorders>
          </w:tcPr>
          <w:p w14:paraId="51B63AEB">
            <w:pPr>
              <w:tabs>
                <w:tab w:val="center" w:pos="4201"/>
                <w:tab w:val="right" w:leader="dot" w:pos="9298"/>
              </w:tabs>
              <w:autoSpaceDE w:val="0"/>
              <w:autoSpaceDN w:val="0"/>
              <w:adjustRightInd/>
              <w:spacing w:line="240" w:lineRule="auto"/>
              <w:jc w:val="center"/>
              <w:rPr>
                <w:rFonts w:ascii="Times New Roman" w:hAnsi="Times New Roman"/>
                <w:kern w:val="0"/>
                <w:szCs w:val="20"/>
              </w:rPr>
            </w:pPr>
          </w:p>
        </w:tc>
        <w:tc>
          <w:tcPr>
            <w:tcW w:w="1258" w:type="dxa"/>
            <w:gridSpan w:val="2"/>
            <w:vMerge w:val="continue"/>
            <w:tcBorders>
              <w:bottom w:val="single" w:color="auto" w:sz="4" w:space="0"/>
            </w:tcBorders>
          </w:tcPr>
          <w:p w14:paraId="10646733">
            <w:pPr>
              <w:tabs>
                <w:tab w:val="center" w:pos="4201"/>
                <w:tab w:val="right" w:leader="dot" w:pos="9298"/>
              </w:tabs>
              <w:autoSpaceDE w:val="0"/>
              <w:autoSpaceDN w:val="0"/>
              <w:adjustRightInd/>
              <w:spacing w:line="240" w:lineRule="auto"/>
              <w:jc w:val="center"/>
              <w:rPr>
                <w:rFonts w:ascii="Times New Roman" w:hAnsi="Times New Roman"/>
                <w:kern w:val="0"/>
                <w:szCs w:val="20"/>
              </w:rPr>
            </w:pPr>
          </w:p>
        </w:tc>
        <w:tc>
          <w:tcPr>
            <w:tcW w:w="1258" w:type="dxa"/>
            <w:gridSpan w:val="2"/>
            <w:vMerge w:val="continue"/>
            <w:tcBorders>
              <w:top w:val="single" w:color="auto" w:sz="4" w:space="0"/>
              <w:bottom w:val="single" w:color="auto" w:sz="4" w:space="0"/>
            </w:tcBorders>
          </w:tcPr>
          <w:p w14:paraId="641FF9C3">
            <w:pPr>
              <w:tabs>
                <w:tab w:val="center" w:pos="4201"/>
                <w:tab w:val="right" w:leader="dot" w:pos="9298"/>
              </w:tabs>
              <w:autoSpaceDE w:val="0"/>
              <w:autoSpaceDN w:val="0"/>
              <w:adjustRightInd/>
              <w:spacing w:line="240" w:lineRule="auto"/>
              <w:jc w:val="center"/>
              <w:rPr>
                <w:rFonts w:ascii="Times New Roman" w:hAnsi="Times New Roman"/>
                <w:kern w:val="0"/>
                <w:szCs w:val="20"/>
              </w:rPr>
            </w:pPr>
          </w:p>
        </w:tc>
        <w:tc>
          <w:tcPr>
            <w:tcW w:w="1318" w:type="dxa"/>
            <w:gridSpan w:val="2"/>
            <w:vMerge w:val="continue"/>
            <w:tcBorders>
              <w:top w:val="single" w:color="auto" w:sz="4" w:space="0"/>
              <w:bottom w:val="single" w:color="auto" w:sz="4" w:space="0"/>
            </w:tcBorders>
          </w:tcPr>
          <w:p w14:paraId="1F9A67BD">
            <w:pPr>
              <w:tabs>
                <w:tab w:val="center" w:pos="4201"/>
                <w:tab w:val="right" w:leader="dot" w:pos="9298"/>
              </w:tabs>
              <w:autoSpaceDE w:val="0"/>
              <w:autoSpaceDN w:val="0"/>
              <w:adjustRightInd/>
              <w:spacing w:line="240" w:lineRule="auto"/>
              <w:jc w:val="center"/>
              <w:rPr>
                <w:rFonts w:ascii="Times New Roman" w:hAnsi="Times New Roman"/>
                <w:kern w:val="0"/>
                <w:szCs w:val="20"/>
              </w:rPr>
            </w:pPr>
          </w:p>
        </w:tc>
        <w:tc>
          <w:tcPr>
            <w:tcW w:w="1258" w:type="dxa"/>
            <w:gridSpan w:val="2"/>
            <w:tcBorders>
              <w:top w:val="single" w:color="auto" w:sz="4" w:space="0"/>
              <w:bottom w:val="single" w:color="auto" w:sz="4" w:space="0"/>
            </w:tcBorders>
            <w:vAlign w:val="center"/>
          </w:tcPr>
          <w:p w14:paraId="529CEF60">
            <w:pPr>
              <w:tabs>
                <w:tab w:val="center" w:pos="4201"/>
                <w:tab w:val="right" w:leader="dot" w:pos="9298"/>
              </w:tabs>
              <w:autoSpaceDE w:val="0"/>
              <w:autoSpaceDN w:val="0"/>
              <w:adjustRightInd/>
              <w:spacing w:line="240" w:lineRule="auto"/>
              <w:jc w:val="center"/>
              <w:rPr>
                <w:rFonts w:ascii="Times New Roman" w:hAnsi="Times New Roman"/>
                <w:kern w:val="0"/>
                <w:szCs w:val="20"/>
              </w:rPr>
            </w:pPr>
            <w:r>
              <w:rPr>
                <w:rFonts w:ascii="Times New Roman" w:hAnsi="Times New Roman"/>
                <w:kern w:val="0"/>
                <w:sz w:val="18"/>
                <w:szCs w:val="18"/>
              </w:rPr>
              <w:t>荧光灯灯具</w:t>
            </w:r>
          </w:p>
        </w:tc>
        <w:tc>
          <w:tcPr>
            <w:tcW w:w="1258" w:type="dxa"/>
            <w:gridSpan w:val="2"/>
            <w:tcBorders>
              <w:top w:val="single" w:color="auto" w:sz="4" w:space="0"/>
              <w:bottom w:val="single" w:color="auto" w:sz="4" w:space="0"/>
            </w:tcBorders>
            <w:vAlign w:val="center"/>
          </w:tcPr>
          <w:p w14:paraId="2ACC3501">
            <w:pPr>
              <w:tabs>
                <w:tab w:val="center" w:pos="4201"/>
                <w:tab w:val="right" w:leader="dot" w:pos="9298"/>
              </w:tabs>
              <w:autoSpaceDE w:val="0"/>
              <w:autoSpaceDN w:val="0"/>
              <w:adjustRightInd/>
              <w:spacing w:line="240" w:lineRule="auto"/>
              <w:jc w:val="center"/>
              <w:rPr>
                <w:rFonts w:ascii="Times New Roman" w:hAnsi="Times New Roman"/>
                <w:kern w:val="0"/>
                <w:szCs w:val="20"/>
              </w:rPr>
            </w:pPr>
            <w:r>
              <w:rPr>
                <w:rFonts w:ascii="Times New Roman" w:hAnsi="Times New Roman"/>
                <w:kern w:val="0"/>
                <w:sz w:val="18"/>
                <w:szCs w:val="18"/>
              </w:rPr>
              <w:t>LED灯具</w:t>
            </w:r>
          </w:p>
        </w:tc>
        <w:tc>
          <w:tcPr>
            <w:tcW w:w="666" w:type="dxa"/>
            <w:vMerge w:val="continue"/>
            <w:tcBorders>
              <w:top w:val="single" w:color="auto" w:sz="4" w:space="0"/>
              <w:bottom w:val="single" w:color="auto" w:sz="4" w:space="0"/>
            </w:tcBorders>
          </w:tcPr>
          <w:p w14:paraId="214647ED">
            <w:pPr>
              <w:tabs>
                <w:tab w:val="center" w:pos="4201"/>
                <w:tab w:val="right" w:leader="dot" w:pos="9298"/>
              </w:tabs>
              <w:autoSpaceDE w:val="0"/>
              <w:autoSpaceDN w:val="0"/>
              <w:adjustRightInd/>
              <w:spacing w:line="240" w:lineRule="auto"/>
              <w:jc w:val="center"/>
              <w:rPr>
                <w:rFonts w:ascii="Times New Roman" w:hAnsi="Times New Roman"/>
                <w:kern w:val="0"/>
                <w:szCs w:val="20"/>
              </w:rPr>
            </w:pPr>
          </w:p>
        </w:tc>
        <w:tc>
          <w:tcPr>
            <w:tcW w:w="629" w:type="dxa"/>
            <w:vMerge w:val="continue"/>
            <w:tcBorders>
              <w:top w:val="single" w:color="auto" w:sz="4" w:space="0"/>
              <w:bottom w:val="single" w:color="auto" w:sz="4" w:space="0"/>
            </w:tcBorders>
          </w:tcPr>
          <w:p w14:paraId="219895F2">
            <w:pPr>
              <w:tabs>
                <w:tab w:val="center" w:pos="4201"/>
                <w:tab w:val="right" w:leader="dot" w:pos="9298"/>
              </w:tabs>
              <w:autoSpaceDE w:val="0"/>
              <w:autoSpaceDN w:val="0"/>
              <w:adjustRightInd/>
              <w:spacing w:line="240" w:lineRule="auto"/>
              <w:jc w:val="center"/>
              <w:rPr>
                <w:rFonts w:ascii="Times New Roman" w:hAnsi="Times New Roman"/>
                <w:kern w:val="0"/>
                <w:szCs w:val="20"/>
              </w:rPr>
            </w:pPr>
          </w:p>
        </w:tc>
        <w:tc>
          <w:tcPr>
            <w:tcW w:w="670" w:type="dxa"/>
            <w:vMerge w:val="continue"/>
            <w:tcBorders>
              <w:top w:val="single" w:color="auto" w:sz="4" w:space="0"/>
              <w:bottom w:val="single" w:color="auto" w:sz="4" w:space="0"/>
            </w:tcBorders>
          </w:tcPr>
          <w:p w14:paraId="103DD10E">
            <w:pPr>
              <w:tabs>
                <w:tab w:val="center" w:pos="4201"/>
                <w:tab w:val="right" w:leader="dot" w:pos="9298"/>
              </w:tabs>
              <w:autoSpaceDE w:val="0"/>
              <w:autoSpaceDN w:val="0"/>
              <w:adjustRightInd/>
              <w:spacing w:line="240" w:lineRule="auto"/>
              <w:rPr>
                <w:rFonts w:ascii="Times New Roman" w:hAnsi="Times New Roman"/>
                <w:kern w:val="0"/>
                <w:szCs w:val="20"/>
              </w:rPr>
            </w:pPr>
          </w:p>
        </w:tc>
        <w:tc>
          <w:tcPr>
            <w:tcW w:w="625" w:type="dxa"/>
            <w:vMerge w:val="continue"/>
            <w:tcBorders>
              <w:top w:val="single" w:color="auto" w:sz="4" w:space="0"/>
              <w:bottom w:val="single" w:color="auto" w:sz="4" w:space="0"/>
            </w:tcBorders>
          </w:tcPr>
          <w:p w14:paraId="42A7E562">
            <w:pPr>
              <w:tabs>
                <w:tab w:val="center" w:pos="4201"/>
                <w:tab w:val="right" w:leader="dot" w:pos="9298"/>
              </w:tabs>
              <w:autoSpaceDE w:val="0"/>
              <w:autoSpaceDN w:val="0"/>
              <w:adjustRightInd/>
              <w:spacing w:line="240" w:lineRule="auto"/>
              <w:rPr>
                <w:rFonts w:ascii="Times New Roman" w:hAnsi="Times New Roman"/>
                <w:kern w:val="0"/>
                <w:szCs w:val="20"/>
              </w:rPr>
            </w:pPr>
          </w:p>
        </w:tc>
      </w:tr>
      <w:tr w14:paraId="310FD07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51" w:type="dxa"/>
            <w:vMerge w:val="continue"/>
            <w:tcBorders>
              <w:top w:val="single" w:color="auto" w:sz="4" w:space="0"/>
              <w:bottom w:val="single" w:color="auto" w:sz="12" w:space="0"/>
            </w:tcBorders>
          </w:tcPr>
          <w:p w14:paraId="41BBB173">
            <w:pPr>
              <w:tabs>
                <w:tab w:val="center" w:pos="4201"/>
                <w:tab w:val="right" w:leader="dot" w:pos="9298"/>
              </w:tabs>
              <w:autoSpaceDE w:val="0"/>
              <w:autoSpaceDN w:val="0"/>
              <w:adjustRightInd/>
              <w:spacing w:line="240" w:lineRule="auto"/>
              <w:jc w:val="center"/>
              <w:rPr>
                <w:rFonts w:ascii="Times New Roman" w:hAnsi="Times New Roman"/>
                <w:kern w:val="0"/>
                <w:szCs w:val="20"/>
              </w:rPr>
            </w:pPr>
          </w:p>
        </w:tc>
        <w:tc>
          <w:tcPr>
            <w:tcW w:w="628" w:type="dxa"/>
            <w:tcBorders>
              <w:top w:val="single" w:color="auto" w:sz="4" w:space="0"/>
              <w:bottom w:val="single" w:color="auto" w:sz="12" w:space="0"/>
            </w:tcBorders>
            <w:vAlign w:val="center"/>
          </w:tcPr>
          <w:p w14:paraId="10318A3F">
            <w:pPr>
              <w:tabs>
                <w:tab w:val="center" w:pos="4201"/>
                <w:tab w:val="right" w:leader="dot" w:pos="9298"/>
              </w:tabs>
              <w:autoSpaceDE w:val="0"/>
              <w:autoSpaceDN w:val="0"/>
              <w:adjustRightInd/>
              <w:spacing w:line="240" w:lineRule="auto"/>
              <w:jc w:val="center"/>
              <w:rPr>
                <w:rFonts w:ascii="Times New Roman" w:hAnsi="Times New Roman"/>
                <w:kern w:val="0"/>
                <w:szCs w:val="20"/>
              </w:rPr>
            </w:pPr>
            <w:r>
              <w:rPr>
                <w:rFonts w:ascii="Times New Roman" w:hAnsi="Times New Roman"/>
                <w:kern w:val="0"/>
                <w:sz w:val="18"/>
                <w:szCs w:val="18"/>
              </w:rPr>
              <w:t>目标值</w:t>
            </w:r>
          </w:p>
        </w:tc>
        <w:tc>
          <w:tcPr>
            <w:tcW w:w="628" w:type="dxa"/>
            <w:tcBorders>
              <w:top w:val="single" w:color="auto" w:sz="4" w:space="0"/>
              <w:bottom w:val="single" w:color="auto" w:sz="12" w:space="0"/>
            </w:tcBorders>
            <w:vAlign w:val="center"/>
          </w:tcPr>
          <w:p w14:paraId="030B5E47">
            <w:pPr>
              <w:tabs>
                <w:tab w:val="center" w:pos="4201"/>
                <w:tab w:val="right" w:leader="dot" w:pos="9298"/>
              </w:tabs>
              <w:autoSpaceDE w:val="0"/>
              <w:autoSpaceDN w:val="0"/>
              <w:adjustRightInd/>
              <w:spacing w:line="240" w:lineRule="auto"/>
              <w:jc w:val="center"/>
              <w:rPr>
                <w:rFonts w:ascii="Times New Roman" w:hAnsi="Times New Roman"/>
                <w:kern w:val="0"/>
                <w:szCs w:val="20"/>
              </w:rPr>
            </w:pPr>
            <w:r>
              <w:rPr>
                <w:rFonts w:ascii="Times New Roman" w:hAnsi="Times New Roman"/>
                <w:kern w:val="0"/>
                <w:sz w:val="18"/>
                <w:szCs w:val="18"/>
              </w:rPr>
              <w:t>现行值</w:t>
            </w:r>
          </w:p>
        </w:tc>
        <w:tc>
          <w:tcPr>
            <w:tcW w:w="629" w:type="dxa"/>
            <w:tcBorders>
              <w:top w:val="single" w:color="auto" w:sz="4" w:space="0"/>
              <w:bottom w:val="single" w:color="auto" w:sz="12" w:space="0"/>
            </w:tcBorders>
            <w:vAlign w:val="center"/>
          </w:tcPr>
          <w:p w14:paraId="0CD812EC">
            <w:pPr>
              <w:tabs>
                <w:tab w:val="center" w:pos="4201"/>
                <w:tab w:val="right" w:leader="dot" w:pos="9298"/>
              </w:tabs>
              <w:autoSpaceDE w:val="0"/>
              <w:autoSpaceDN w:val="0"/>
              <w:adjustRightInd/>
              <w:spacing w:line="240" w:lineRule="auto"/>
              <w:jc w:val="center"/>
              <w:rPr>
                <w:rFonts w:ascii="Times New Roman" w:hAnsi="Times New Roman"/>
                <w:kern w:val="0"/>
                <w:sz w:val="18"/>
                <w:szCs w:val="18"/>
              </w:rPr>
            </w:pPr>
            <w:r>
              <w:rPr>
                <w:rFonts w:ascii="Times New Roman" w:hAnsi="Times New Roman"/>
                <w:kern w:val="0"/>
                <w:sz w:val="18"/>
                <w:szCs w:val="18"/>
              </w:rPr>
              <w:t>目标值</w:t>
            </w:r>
          </w:p>
        </w:tc>
        <w:tc>
          <w:tcPr>
            <w:tcW w:w="629" w:type="dxa"/>
            <w:tcBorders>
              <w:top w:val="single" w:color="auto" w:sz="4" w:space="0"/>
              <w:bottom w:val="single" w:color="auto" w:sz="12" w:space="0"/>
            </w:tcBorders>
            <w:vAlign w:val="center"/>
          </w:tcPr>
          <w:p w14:paraId="49B2390D">
            <w:pPr>
              <w:tabs>
                <w:tab w:val="center" w:pos="4201"/>
                <w:tab w:val="right" w:leader="dot" w:pos="9298"/>
              </w:tabs>
              <w:autoSpaceDE w:val="0"/>
              <w:autoSpaceDN w:val="0"/>
              <w:adjustRightInd/>
              <w:spacing w:line="240" w:lineRule="auto"/>
              <w:jc w:val="center"/>
              <w:rPr>
                <w:rFonts w:ascii="Times New Roman" w:hAnsi="Times New Roman"/>
                <w:kern w:val="0"/>
                <w:sz w:val="18"/>
                <w:szCs w:val="18"/>
              </w:rPr>
            </w:pPr>
            <w:r>
              <w:rPr>
                <w:rFonts w:ascii="Times New Roman" w:hAnsi="Times New Roman"/>
                <w:kern w:val="0"/>
                <w:sz w:val="18"/>
                <w:szCs w:val="18"/>
              </w:rPr>
              <w:t>现行值</w:t>
            </w:r>
          </w:p>
        </w:tc>
        <w:tc>
          <w:tcPr>
            <w:tcW w:w="629" w:type="dxa"/>
            <w:tcBorders>
              <w:top w:val="single" w:color="auto" w:sz="4" w:space="0"/>
              <w:bottom w:val="single" w:color="auto" w:sz="12" w:space="0"/>
            </w:tcBorders>
            <w:vAlign w:val="center"/>
          </w:tcPr>
          <w:p w14:paraId="0499073A">
            <w:pPr>
              <w:tabs>
                <w:tab w:val="center" w:pos="4201"/>
                <w:tab w:val="right" w:leader="dot" w:pos="9298"/>
              </w:tabs>
              <w:autoSpaceDE w:val="0"/>
              <w:autoSpaceDN w:val="0"/>
              <w:adjustRightInd/>
              <w:spacing w:line="240" w:lineRule="auto"/>
              <w:jc w:val="center"/>
              <w:rPr>
                <w:rFonts w:ascii="Times New Roman" w:hAnsi="Times New Roman"/>
                <w:kern w:val="0"/>
                <w:szCs w:val="20"/>
              </w:rPr>
            </w:pPr>
            <w:r>
              <w:rPr>
                <w:rFonts w:ascii="Times New Roman" w:hAnsi="Times New Roman"/>
                <w:kern w:val="0"/>
                <w:sz w:val="18"/>
                <w:szCs w:val="18"/>
              </w:rPr>
              <w:t>目标值</w:t>
            </w:r>
          </w:p>
        </w:tc>
        <w:tc>
          <w:tcPr>
            <w:tcW w:w="629" w:type="dxa"/>
            <w:tcBorders>
              <w:top w:val="single" w:color="auto" w:sz="4" w:space="0"/>
              <w:bottom w:val="single" w:color="auto" w:sz="12" w:space="0"/>
            </w:tcBorders>
            <w:vAlign w:val="center"/>
          </w:tcPr>
          <w:p w14:paraId="40766A65">
            <w:pPr>
              <w:tabs>
                <w:tab w:val="center" w:pos="4201"/>
                <w:tab w:val="right" w:leader="dot" w:pos="9298"/>
              </w:tabs>
              <w:autoSpaceDE w:val="0"/>
              <w:autoSpaceDN w:val="0"/>
              <w:adjustRightInd/>
              <w:spacing w:line="240" w:lineRule="auto"/>
              <w:jc w:val="center"/>
              <w:rPr>
                <w:rFonts w:ascii="Times New Roman" w:hAnsi="Times New Roman"/>
                <w:kern w:val="0"/>
                <w:szCs w:val="20"/>
              </w:rPr>
            </w:pPr>
            <w:r>
              <w:rPr>
                <w:rFonts w:ascii="Times New Roman" w:hAnsi="Times New Roman"/>
                <w:kern w:val="0"/>
                <w:sz w:val="18"/>
                <w:szCs w:val="18"/>
              </w:rPr>
              <w:t>现行值</w:t>
            </w:r>
          </w:p>
        </w:tc>
        <w:tc>
          <w:tcPr>
            <w:tcW w:w="659" w:type="dxa"/>
            <w:tcBorders>
              <w:top w:val="single" w:color="auto" w:sz="4" w:space="0"/>
              <w:bottom w:val="single" w:color="auto" w:sz="12" w:space="0"/>
            </w:tcBorders>
            <w:vAlign w:val="center"/>
          </w:tcPr>
          <w:p w14:paraId="102DCE80">
            <w:pPr>
              <w:tabs>
                <w:tab w:val="center" w:pos="4201"/>
                <w:tab w:val="right" w:leader="dot" w:pos="9298"/>
              </w:tabs>
              <w:autoSpaceDE w:val="0"/>
              <w:autoSpaceDN w:val="0"/>
              <w:adjustRightInd/>
              <w:spacing w:line="240" w:lineRule="auto"/>
              <w:jc w:val="center"/>
              <w:rPr>
                <w:rFonts w:ascii="Times New Roman" w:hAnsi="Times New Roman"/>
                <w:kern w:val="0"/>
                <w:szCs w:val="20"/>
              </w:rPr>
            </w:pPr>
            <w:r>
              <w:rPr>
                <w:rFonts w:ascii="Times New Roman" w:hAnsi="Times New Roman"/>
                <w:kern w:val="0"/>
                <w:sz w:val="18"/>
                <w:szCs w:val="18"/>
              </w:rPr>
              <w:t>目标值</w:t>
            </w:r>
          </w:p>
        </w:tc>
        <w:tc>
          <w:tcPr>
            <w:tcW w:w="659" w:type="dxa"/>
            <w:tcBorders>
              <w:top w:val="single" w:color="auto" w:sz="4" w:space="0"/>
              <w:bottom w:val="single" w:color="auto" w:sz="12" w:space="0"/>
            </w:tcBorders>
            <w:vAlign w:val="center"/>
          </w:tcPr>
          <w:p w14:paraId="1FA24ACD">
            <w:pPr>
              <w:tabs>
                <w:tab w:val="center" w:pos="4201"/>
                <w:tab w:val="right" w:leader="dot" w:pos="9298"/>
              </w:tabs>
              <w:autoSpaceDE w:val="0"/>
              <w:autoSpaceDN w:val="0"/>
              <w:adjustRightInd/>
              <w:spacing w:line="240" w:lineRule="auto"/>
              <w:jc w:val="center"/>
              <w:rPr>
                <w:rFonts w:ascii="Times New Roman" w:hAnsi="Times New Roman"/>
                <w:kern w:val="0"/>
                <w:szCs w:val="20"/>
              </w:rPr>
            </w:pPr>
            <w:r>
              <w:rPr>
                <w:rFonts w:ascii="Times New Roman" w:hAnsi="Times New Roman"/>
                <w:kern w:val="0"/>
                <w:sz w:val="18"/>
                <w:szCs w:val="18"/>
              </w:rPr>
              <w:t>现行值</w:t>
            </w:r>
          </w:p>
        </w:tc>
        <w:tc>
          <w:tcPr>
            <w:tcW w:w="629" w:type="dxa"/>
            <w:tcBorders>
              <w:top w:val="single" w:color="auto" w:sz="4" w:space="0"/>
              <w:bottom w:val="single" w:color="auto" w:sz="12" w:space="0"/>
            </w:tcBorders>
            <w:vAlign w:val="center"/>
          </w:tcPr>
          <w:p w14:paraId="6A6FF0CE">
            <w:pPr>
              <w:tabs>
                <w:tab w:val="center" w:pos="4201"/>
                <w:tab w:val="right" w:leader="dot" w:pos="9298"/>
              </w:tabs>
              <w:autoSpaceDE w:val="0"/>
              <w:autoSpaceDN w:val="0"/>
              <w:adjustRightInd/>
              <w:spacing w:line="240" w:lineRule="auto"/>
              <w:jc w:val="center"/>
              <w:rPr>
                <w:rFonts w:ascii="Times New Roman" w:hAnsi="Times New Roman"/>
                <w:kern w:val="0"/>
                <w:szCs w:val="20"/>
              </w:rPr>
            </w:pPr>
            <w:r>
              <w:rPr>
                <w:rFonts w:ascii="Times New Roman" w:hAnsi="Times New Roman"/>
                <w:kern w:val="0"/>
                <w:sz w:val="18"/>
                <w:szCs w:val="18"/>
              </w:rPr>
              <w:t>目标值</w:t>
            </w:r>
          </w:p>
        </w:tc>
        <w:tc>
          <w:tcPr>
            <w:tcW w:w="629" w:type="dxa"/>
            <w:tcBorders>
              <w:top w:val="single" w:color="auto" w:sz="4" w:space="0"/>
              <w:bottom w:val="single" w:color="auto" w:sz="12" w:space="0"/>
            </w:tcBorders>
            <w:vAlign w:val="center"/>
          </w:tcPr>
          <w:p w14:paraId="717DC821">
            <w:pPr>
              <w:tabs>
                <w:tab w:val="center" w:pos="4201"/>
                <w:tab w:val="right" w:leader="dot" w:pos="9298"/>
              </w:tabs>
              <w:autoSpaceDE w:val="0"/>
              <w:autoSpaceDN w:val="0"/>
              <w:adjustRightInd/>
              <w:spacing w:line="240" w:lineRule="auto"/>
              <w:jc w:val="center"/>
              <w:rPr>
                <w:rFonts w:ascii="Times New Roman" w:hAnsi="Times New Roman"/>
                <w:kern w:val="0"/>
                <w:szCs w:val="20"/>
              </w:rPr>
            </w:pPr>
            <w:r>
              <w:rPr>
                <w:rFonts w:ascii="Times New Roman" w:hAnsi="Times New Roman"/>
                <w:kern w:val="0"/>
                <w:sz w:val="18"/>
                <w:szCs w:val="18"/>
              </w:rPr>
              <w:t>现行值</w:t>
            </w:r>
          </w:p>
        </w:tc>
        <w:tc>
          <w:tcPr>
            <w:tcW w:w="629" w:type="dxa"/>
            <w:tcBorders>
              <w:top w:val="single" w:color="auto" w:sz="4" w:space="0"/>
              <w:bottom w:val="single" w:color="auto" w:sz="12" w:space="0"/>
            </w:tcBorders>
            <w:vAlign w:val="center"/>
          </w:tcPr>
          <w:p w14:paraId="0D1D3168">
            <w:pPr>
              <w:tabs>
                <w:tab w:val="center" w:pos="4201"/>
                <w:tab w:val="right" w:leader="dot" w:pos="9298"/>
              </w:tabs>
              <w:autoSpaceDE w:val="0"/>
              <w:autoSpaceDN w:val="0"/>
              <w:adjustRightInd/>
              <w:spacing w:line="240" w:lineRule="auto"/>
              <w:jc w:val="center"/>
              <w:rPr>
                <w:rFonts w:ascii="Times New Roman" w:hAnsi="Times New Roman"/>
                <w:kern w:val="0"/>
                <w:szCs w:val="20"/>
              </w:rPr>
            </w:pPr>
            <w:r>
              <w:rPr>
                <w:rFonts w:ascii="Times New Roman" w:hAnsi="Times New Roman"/>
                <w:kern w:val="0"/>
                <w:sz w:val="18"/>
                <w:szCs w:val="18"/>
              </w:rPr>
              <w:t>目标值</w:t>
            </w:r>
          </w:p>
        </w:tc>
        <w:tc>
          <w:tcPr>
            <w:tcW w:w="629" w:type="dxa"/>
            <w:tcBorders>
              <w:top w:val="single" w:color="auto" w:sz="4" w:space="0"/>
              <w:bottom w:val="single" w:color="auto" w:sz="12" w:space="0"/>
            </w:tcBorders>
            <w:vAlign w:val="center"/>
          </w:tcPr>
          <w:p w14:paraId="32085723">
            <w:pPr>
              <w:tabs>
                <w:tab w:val="center" w:pos="4201"/>
                <w:tab w:val="right" w:leader="dot" w:pos="9298"/>
              </w:tabs>
              <w:autoSpaceDE w:val="0"/>
              <w:autoSpaceDN w:val="0"/>
              <w:adjustRightInd/>
              <w:spacing w:line="240" w:lineRule="auto"/>
              <w:jc w:val="center"/>
              <w:rPr>
                <w:rFonts w:ascii="Times New Roman" w:hAnsi="Times New Roman"/>
                <w:kern w:val="0"/>
                <w:szCs w:val="20"/>
              </w:rPr>
            </w:pPr>
            <w:r>
              <w:rPr>
                <w:rFonts w:ascii="Times New Roman" w:hAnsi="Times New Roman"/>
                <w:kern w:val="0"/>
                <w:sz w:val="18"/>
                <w:szCs w:val="18"/>
              </w:rPr>
              <w:t>现行值</w:t>
            </w:r>
          </w:p>
        </w:tc>
        <w:tc>
          <w:tcPr>
            <w:tcW w:w="666" w:type="dxa"/>
            <w:vMerge w:val="continue"/>
            <w:tcBorders>
              <w:top w:val="single" w:color="auto" w:sz="4" w:space="0"/>
              <w:bottom w:val="single" w:color="auto" w:sz="12" w:space="0"/>
            </w:tcBorders>
          </w:tcPr>
          <w:p w14:paraId="04C0281C">
            <w:pPr>
              <w:tabs>
                <w:tab w:val="center" w:pos="4201"/>
                <w:tab w:val="right" w:leader="dot" w:pos="9298"/>
              </w:tabs>
              <w:autoSpaceDE w:val="0"/>
              <w:autoSpaceDN w:val="0"/>
              <w:adjustRightInd/>
              <w:spacing w:line="240" w:lineRule="auto"/>
              <w:jc w:val="center"/>
              <w:rPr>
                <w:rFonts w:ascii="Times New Roman" w:hAnsi="Times New Roman"/>
                <w:kern w:val="0"/>
                <w:szCs w:val="20"/>
              </w:rPr>
            </w:pPr>
          </w:p>
        </w:tc>
        <w:tc>
          <w:tcPr>
            <w:tcW w:w="629" w:type="dxa"/>
            <w:vMerge w:val="continue"/>
            <w:tcBorders>
              <w:top w:val="single" w:color="auto" w:sz="4" w:space="0"/>
              <w:bottom w:val="single" w:color="auto" w:sz="12" w:space="0"/>
            </w:tcBorders>
          </w:tcPr>
          <w:p w14:paraId="2410991D">
            <w:pPr>
              <w:tabs>
                <w:tab w:val="center" w:pos="4201"/>
                <w:tab w:val="right" w:leader="dot" w:pos="9298"/>
              </w:tabs>
              <w:autoSpaceDE w:val="0"/>
              <w:autoSpaceDN w:val="0"/>
              <w:adjustRightInd/>
              <w:spacing w:line="240" w:lineRule="auto"/>
              <w:jc w:val="center"/>
              <w:rPr>
                <w:rFonts w:ascii="Times New Roman" w:hAnsi="Times New Roman"/>
                <w:kern w:val="0"/>
                <w:szCs w:val="20"/>
              </w:rPr>
            </w:pPr>
          </w:p>
        </w:tc>
        <w:tc>
          <w:tcPr>
            <w:tcW w:w="670" w:type="dxa"/>
            <w:vMerge w:val="continue"/>
            <w:tcBorders>
              <w:top w:val="single" w:color="auto" w:sz="4" w:space="0"/>
              <w:bottom w:val="single" w:color="auto" w:sz="12" w:space="0"/>
            </w:tcBorders>
          </w:tcPr>
          <w:p w14:paraId="0F4E5F2A">
            <w:pPr>
              <w:tabs>
                <w:tab w:val="center" w:pos="4201"/>
                <w:tab w:val="right" w:leader="dot" w:pos="9298"/>
              </w:tabs>
              <w:autoSpaceDE w:val="0"/>
              <w:autoSpaceDN w:val="0"/>
              <w:adjustRightInd/>
              <w:spacing w:line="240" w:lineRule="auto"/>
              <w:rPr>
                <w:rFonts w:ascii="Times New Roman" w:hAnsi="Times New Roman"/>
                <w:kern w:val="0"/>
                <w:szCs w:val="20"/>
              </w:rPr>
            </w:pPr>
          </w:p>
        </w:tc>
        <w:tc>
          <w:tcPr>
            <w:tcW w:w="625" w:type="dxa"/>
            <w:vMerge w:val="continue"/>
            <w:tcBorders>
              <w:top w:val="single" w:color="auto" w:sz="4" w:space="0"/>
              <w:bottom w:val="single" w:color="auto" w:sz="12" w:space="0"/>
            </w:tcBorders>
          </w:tcPr>
          <w:p w14:paraId="308BCE3C">
            <w:pPr>
              <w:tabs>
                <w:tab w:val="center" w:pos="4201"/>
                <w:tab w:val="right" w:leader="dot" w:pos="9298"/>
              </w:tabs>
              <w:autoSpaceDE w:val="0"/>
              <w:autoSpaceDN w:val="0"/>
              <w:adjustRightInd/>
              <w:spacing w:line="240" w:lineRule="auto"/>
              <w:rPr>
                <w:rFonts w:ascii="Times New Roman" w:hAnsi="Times New Roman"/>
                <w:kern w:val="0"/>
                <w:szCs w:val="20"/>
              </w:rPr>
            </w:pPr>
          </w:p>
        </w:tc>
      </w:tr>
      <w:tr w14:paraId="0DB8569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51" w:type="dxa"/>
            <w:tcBorders>
              <w:top w:val="single" w:color="auto" w:sz="12" w:space="0"/>
            </w:tcBorders>
            <w:vAlign w:val="center"/>
          </w:tcPr>
          <w:p w14:paraId="0B5AEE06">
            <w:pPr>
              <w:tabs>
                <w:tab w:val="center" w:pos="4201"/>
                <w:tab w:val="right" w:leader="dot" w:pos="9298"/>
              </w:tabs>
              <w:autoSpaceDE w:val="0"/>
              <w:autoSpaceDN w:val="0"/>
              <w:adjustRightInd/>
              <w:spacing w:line="240" w:lineRule="auto"/>
              <w:jc w:val="center"/>
              <w:rPr>
                <w:rFonts w:ascii="Times New Roman" w:hAnsi="Times New Roman"/>
                <w:kern w:val="0"/>
                <w:szCs w:val="20"/>
              </w:rPr>
            </w:pPr>
            <w:bookmarkStart w:id="166" w:name="OLE_LINK5" w:colFirst="7" w:colLast="8"/>
            <w:r>
              <w:rPr>
                <w:rFonts w:ascii="Times New Roman" w:hAnsi="Times New Roman"/>
                <w:kern w:val="0"/>
                <w:sz w:val="18"/>
                <w:szCs w:val="18"/>
              </w:rPr>
              <w:t>普通教室、实验 室、阅览室、舞蹈教室等</w:t>
            </w:r>
          </w:p>
        </w:tc>
        <w:tc>
          <w:tcPr>
            <w:tcW w:w="628" w:type="dxa"/>
            <w:tcBorders>
              <w:top w:val="single" w:color="auto" w:sz="12" w:space="0"/>
            </w:tcBorders>
            <w:vAlign w:val="center"/>
          </w:tcPr>
          <w:p w14:paraId="186AB9E2">
            <w:pPr>
              <w:tabs>
                <w:tab w:val="center" w:pos="4201"/>
                <w:tab w:val="right" w:leader="dot" w:pos="9298"/>
              </w:tabs>
              <w:autoSpaceDE w:val="0"/>
              <w:autoSpaceDN w:val="0"/>
              <w:adjustRightInd/>
              <w:spacing w:line="240" w:lineRule="auto"/>
              <w:jc w:val="center"/>
              <w:rPr>
                <w:rFonts w:ascii="Times New Roman" w:hAnsi="Times New Roman"/>
                <w:kern w:val="0"/>
                <w:szCs w:val="20"/>
              </w:rPr>
            </w:pPr>
            <w:r>
              <w:rPr>
                <w:rFonts w:ascii="Times New Roman" w:hAnsi="Times New Roman"/>
                <w:kern w:val="0"/>
                <w:sz w:val="18"/>
                <w:szCs w:val="18"/>
              </w:rPr>
              <w:t>≥500</w:t>
            </w:r>
          </w:p>
        </w:tc>
        <w:tc>
          <w:tcPr>
            <w:tcW w:w="628" w:type="dxa"/>
            <w:tcBorders>
              <w:top w:val="single" w:color="auto" w:sz="12" w:space="0"/>
            </w:tcBorders>
            <w:vAlign w:val="center"/>
          </w:tcPr>
          <w:p w14:paraId="0F0A7ECB">
            <w:pPr>
              <w:tabs>
                <w:tab w:val="center" w:pos="4201"/>
                <w:tab w:val="right" w:leader="dot" w:pos="9298"/>
              </w:tabs>
              <w:autoSpaceDE w:val="0"/>
              <w:autoSpaceDN w:val="0"/>
              <w:adjustRightInd/>
              <w:spacing w:line="240" w:lineRule="auto"/>
              <w:jc w:val="center"/>
              <w:rPr>
                <w:rFonts w:ascii="Times New Roman" w:hAnsi="Times New Roman"/>
                <w:kern w:val="0"/>
                <w:szCs w:val="20"/>
              </w:rPr>
            </w:pPr>
            <w:r>
              <w:rPr>
                <w:rFonts w:ascii="Times New Roman" w:hAnsi="Times New Roman"/>
                <w:kern w:val="0"/>
                <w:sz w:val="18"/>
                <w:szCs w:val="18"/>
              </w:rPr>
              <w:t>≥300</w:t>
            </w:r>
          </w:p>
        </w:tc>
        <w:tc>
          <w:tcPr>
            <w:tcW w:w="629" w:type="dxa"/>
            <w:tcBorders>
              <w:top w:val="single" w:color="auto" w:sz="12" w:space="0"/>
            </w:tcBorders>
            <w:vAlign w:val="center"/>
          </w:tcPr>
          <w:p w14:paraId="6D2DC70B">
            <w:pPr>
              <w:tabs>
                <w:tab w:val="center" w:pos="4201"/>
                <w:tab w:val="right" w:leader="dot" w:pos="9298"/>
              </w:tabs>
              <w:autoSpaceDE w:val="0"/>
              <w:autoSpaceDN w:val="0"/>
              <w:adjustRightInd/>
              <w:spacing w:line="240" w:lineRule="auto"/>
              <w:jc w:val="center"/>
              <w:rPr>
                <w:rFonts w:ascii="Times New Roman" w:hAnsi="Times New Roman"/>
                <w:kern w:val="0"/>
                <w:sz w:val="18"/>
                <w:szCs w:val="18"/>
              </w:rPr>
            </w:pPr>
            <w:r>
              <w:rPr>
                <w:rFonts w:ascii="Times New Roman" w:hAnsi="Times New Roman"/>
                <w:kern w:val="0"/>
                <w:sz w:val="18"/>
                <w:szCs w:val="18"/>
              </w:rPr>
              <w:t>≥220</w:t>
            </w:r>
          </w:p>
        </w:tc>
        <w:tc>
          <w:tcPr>
            <w:tcW w:w="629" w:type="dxa"/>
            <w:tcBorders>
              <w:top w:val="single" w:color="auto" w:sz="12" w:space="0"/>
            </w:tcBorders>
            <w:vAlign w:val="center"/>
          </w:tcPr>
          <w:p w14:paraId="2E3E360A">
            <w:pPr>
              <w:tabs>
                <w:tab w:val="center" w:pos="4201"/>
                <w:tab w:val="right" w:leader="dot" w:pos="9298"/>
              </w:tabs>
              <w:autoSpaceDE w:val="0"/>
              <w:autoSpaceDN w:val="0"/>
              <w:adjustRightInd/>
              <w:spacing w:line="240" w:lineRule="auto"/>
              <w:jc w:val="center"/>
              <w:rPr>
                <w:rFonts w:ascii="Times New Roman" w:hAnsi="Times New Roman"/>
                <w:kern w:val="0"/>
                <w:sz w:val="18"/>
                <w:szCs w:val="18"/>
              </w:rPr>
            </w:pPr>
            <w:r>
              <w:rPr>
                <w:rFonts w:ascii="Times New Roman" w:hAnsi="Times New Roman"/>
                <w:kern w:val="0"/>
                <w:sz w:val="18"/>
                <w:szCs w:val="18"/>
              </w:rPr>
              <w:t>≥170</w:t>
            </w:r>
          </w:p>
        </w:tc>
        <w:tc>
          <w:tcPr>
            <w:tcW w:w="629" w:type="dxa"/>
            <w:tcBorders>
              <w:top w:val="single" w:color="auto" w:sz="12" w:space="0"/>
            </w:tcBorders>
            <w:vAlign w:val="center"/>
          </w:tcPr>
          <w:p w14:paraId="2FD45083">
            <w:pPr>
              <w:tabs>
                <w:tab w:val="center" w:pos="4201"/>
                <w:tab w:val="right" w:leader="dot" w:pos="9298"/>
              </w:tabs>
              <w:autoSpaceDE w:val="0"/>
              <w:autoSpaceDN w:val="0"/>
              <w:adjustRightInd/>
              <w:spacing w:line="240" w:lineRule="auto"/>
              <w:jc w:val="center"/>
              <w:rPr>
                <w:rFonts w:ascii="Times New Roman" w:hAnsi="Times New Roman"/>
                <w:kern w:val="0"/>
                <w:szCs w:val="20"/>
              </w:rPr>
            </w:pPr>
            <w:r>
              <w:rPr>
                <w:rFonts w:ascii="Times New Roman" w:hAnsi="Times New Roman"/>
                <w:kern w:val="0"/>
                <w:sz w:val="18"/>
                <w:szCs w:val="18"/>
              </w:rPr>
              <w:t>≤16</w:t>
            </w:r>
          </w:p>
        </w:tc>
        <w:tc>
          <w:tcPr>
            <w:tcW w:w="629" w:type="dxa"/>
            <w:tcBorders>
              <w:top w:val="single" w:color="auto" w:sz="12" w:space="0"/>
            </w:tcBorders>
            <w:vAlign w:val="center"/>
          </w:tcPr>
          <w:p w14:paraId="5929EE34">
            <w:pPr>
              <w:tabs>
                <w:tab w:val="center" w:pos="4201"/>
                <w:tab w:val="right" w:leader="dot" w:pos="9298"/>
              </w:tabs>
              <w:autoSpaceDE w:val="0"/>
              <w:autoSpaceDN w:val="0"/>
              <w:adjustRightInd/>
              <w:spacing w:line="240" w:lineRule="auto"/>
              <w:jc w:val="center"/>
              <w:rPr>
                <w:rFonts w:ascii="Times New Roman" w:hAnsi="Times New Roman"/>
                <w:kern w:val="0"/>
                <w:szCs w:val="20"/>
              </w:rPr>
            </w:pPr>
            <w:r>
              <w:rPr>
                <w:rFonts w:ascii="Times New Roman" w:hAnsi="Times New Roman"/>
                <w:kern w:val="0"/>
                <w:sz w:val="18"/>
                <w:szCs w:val="18"/>
              </w:rPr>
              <w:t>≤19</w:t>
            </w:r>
          </w:p>
        </w:tc>
        <w:tc>
          <w:tcPr>
            <w:tcW w:w="659" w:type="dxa"/>
            <w:tcBorders>
              <w:top w:val="single" w:color="auto" w:sz="12" w:space="0"/>
            </w:tcBorders>
            <w:vAlign w:val="center"/>
          </w:tcPr>
          <w:p w14:paraId="0C23C443">
            <w:pPr>
              <w:adjustRightInd/>
              <w:spacing w:line="240" w:lineRule="auto"/>
              <w:jc w:val="center"/>
              <w:rPr>
                <w:rFonts w:ascii="Times New Roman" w:hAnsi="Times New Roman"/>
                <w:sz w:val="18"/>
                <w:szCs w:val="18"/>
              </w:rPr>
            </w:pPr>
            <w:r>
              <w:rPr>
                <w:rFonts w:ascii="Times New Roman" w:hAnsi="Times New Roman"/>
                <w:i/>
                <w:iCs/>
                <w:sz w:val="18"/>
                <w:szCs w:val="18"/>
              </w:rPr>
              <w:t>R</w:t>
            </w:r>
            <w:r>
              <w:rPr>
                <w:rFonts w:ascii="Times New Roman" w:hAnsi="Times New Roman"/>
                <w:position w:val="-2"/>
                <w:sz w:val="18"/>
                <w:szCs w:val="18"/>
                <w:vertAlign w:val="subscript"/>
              </w:rPr>
              <w:t>a</w:t>
            </w:r>
            <w:r>
              <w:rPr>
                <w:rFonts w:ascii="Times New Roman" w:hAnsi="Times New Roman"/>
                <w:sz w:val="18"/>
                <w:szCs w:val="18"/>
              </w:rPr>
              <w:t>≥90</w:t>
            </w:r>
          </w:p>
          <w:p w14:paraId="52BE4419">
            <w:pPr>
              <w:tabs>
                <w:tab w:val="center" w:pos="4201"/>
                <w:tab w:val="right" w:leader="dot" w:pos="9298"/>
              </w:tabs>
              <w:autoSpaceDE w:val="0"/>
              <w:autoSpaceDN w:val="0"/>
              <w:adjustRightInd/>
              <w:spacing w:line="240" w:lineRule="auto"/>
              <w:jc w:val="center"/>
              <w:rPr>
                <w:rFonts w:ascii="Times New Roman" w:hAnsi="Times New Roman"/>
                <w:kern w:val="0"/>
                <w:szCs w:val="20"/>
              </w:rPr>
            </w:pPr>
            <w:r>
              <w:rPr>
                <w:rFonts w:ascii="Times New Roman" w:hAnsi="Times New Roman"/>
                <w:i/>
                <w:iCs/>
                <w:kern w:val="0"/>
                <w:sz w:val="18"/>
                <w:szCs w:val="18"/>
              </w:rPr>
              <w:t>R</w:t>
            </w:r>
            <w:r>
              <w:rPr>
                <w:rFonts w:ascii="Times New Roman" w:hAnsi="Times New Roman"/>
                <w:kern w:val="0"/>
                <w:position w:val="-2"/>
                <w:sz w:val="18"/>
                <w:szCs w:val="18"/>
                <w:vertAlign w:val="subscript"/>
              </w:rPr>
              <w:t>9</w:t>
            </w:r>
            <w:r>
              <w:rPr>
                <w:rFonts w:ascii="Times New Roman" w:hAnsi="Times New Roman"/>
                <w:kern w:val="0"/>
                <w:sz w:val="18"/>
                <w:szCs w:val="18"/>
              </w:rPr>
              <w:t>≥90</w:t>
            </w:r>
          </w:p>
        </w:tc>
        <w:tc>
          <w:tcPr>
            <w:tcW w:w="659" w:type="dxa"/>
            <w:tcBorders>
              <w:top w:val="single" w:color="auto" w:sz="12" w:space="0"/>
            </w:tcBorders>
            <w:vAlign w:val="center"/>
          </w:tcPr>
          <w:p w14:paraId="278F95DE">
            <w:pPr>
              <w:adjustRightInd/>
              <w:spacing w:line="240" w:lineRule="auto"/>
              <w:jc w:val="center"/>
              <w:rPr>
                <w:rFonts w:ascii="Times New Roman" w:hAnsi="Times New Roman"/>
                <w:sz w:val="18"/>
                <w:szCs w:val="18"/>
              </w:rPr>
            </w:pPr>
            <w:r>
              <w:rPr>
                <w:rFonts w:ascii="Times New Roman" w:hAnsi="Times New Roman"/>
                <w:i/>
                <w:iCs/>
                <w:sz w:val="18"/>
                <w:szCs w:val="18"/>
              </w:rPr>
              <w:t>R</w:t>
            </w:r>
            <w:r>
              <w:rPr>
                <w:rFonts w:ascii="Times New Roman" w:hAnsi="Times New Roman"/>
                <w:position w:val="-2"/>
                <w:sz w:val="18"/>
                <w:szCs w:val="18"/>
                <w:vertAlign w:val="subscript"/>
              </w:rPr>
              <w:t>a</w:t>
            </w:r>
            <w:r>
              <w:rPr>
                <w:rFonts w:ascii="Times New Roman" w:hAnsi="Times New Roman"/>
                <w:sz w:val="18"/>
                <w:szCs w:val="18"/>
              </w:rPr>
              <w:t>≥80</w:t>
            </w:r>
          </w:p>
          <w:p w14:paraId="50B0F4CB">
            <w:pPr>
              <w:tabs>
                <w:tab w:val="center" w:pos="4201"/>
                <w:tab w:val="right" w:leader="dot" w:pos="9298"/>
              </w:tabs>
              <w:autoSpaceDE w:val="0"/>
              <w:autoSpaceDN w:val="0"/>
              <w:adjustRightInd/>
              <w:spacing w:line="240" w:lineRule="auto"/>
              <w:jc w:val="center"/>
              <w:rPr>
                <w:rFonts w:ascii="Times New Roman" w:hAnsi="Times New Roman"/>
                <w:kern w:val="0"/>
                <w:szCs w:val="20"/>
              </w:rPr>
            </w:pPr>
            <w:r>
              <w:rPr>
                <w:rFonts w:ascii="Times New Roman" w:hAnsi="Times New Roman"/>
                <w:i/>
                <w:iCs/>
                <w:kern w:val="0"/>
                <w:sz w:val="18"/>
                <w:szCs w:val="18"/>
              </w:rPr>
              <w:t>R</w:t>
            </w:r>
            <w:r>
              <w:rPr>
                <w:rFonts w:ascii="Times New Roman" w:hAnsi="Times New Roman"/>
                <w:kern w:val="0"/>
                <w:position w:val="-2"/>
                <w:sz w:val="18"/>
                <w:szCs w:val="18"/>
                <w:vertAlign w:val="subscript"/>
              </w:rPr>
              <w:t>9</w:t>
            </w:r>
            <w:r>
              <w:rPr>
                <w:rFonts w:ascii="Times New Roman" w:hAnsi="Times New Roman"/>
                <w:kern w:val="0"/>
                <w:sz w:val="18"/>
                <w:szCs w:val="18"/>
              </w:rPr>
              <w:t>≥50</w:t>
            </w:r>
          </w:p>
        </w:tc>
        <w:tc>
          <w:tcPr>
            <w:tcW w:w="629" w:type="dxa"/>
            <w:tcBorders>
              <w:top w:val="single" w:color="auto" w:sz="12" w:space="0"/>
            </w:tcBorders>
            <w:vAlign w:val="center"/>
          </w:tcPr>
          <w:p w14:paraId="47EE4ADC">
            <w:pPr>
              <w:tabs>
                <w:tab w:val="center" w:pos="4201"/>
                <w:tab w:val="right" w:leader="dot" w:pos="9298"/>
              </w:tabs>
              <w:autoSpaceDE w:val="0"/>
              <w:autoSpaceDN w:val="0"/>
              <w:adjustRightInd/>
              <w:spacing w:line="240" w:lineRule="auto"/>
              <w:jc w:val="center"/>
              <w:rPr>
                <w:rFonts w:ascii="Times New Roman" w:hAnsi="Times New Roman"/>
                <w:kern w:val="0"/>
                <w:szCs w:val="20"/>
              </w:rPr>
            </w:pPr>
            <w:r>
              <w:rPr>
                <w:rFonts w:ascii="Times New Roman" w:hAnsi="Times New Roman"/>
                <w:kern w:val="0"/>
                <w:sz w:val="18"/>
                <w:szCs w:val="18"/>
              </w:rPr>
              <w:t>≤9</w:t>
            </w:r>
          </w:p>
        </w:tc>
        <w:tc>
          <w:tcPr>
            <w:tcW w:w="629" w:type="dxa"/>
            <w:tcBorders>
              <w:top w:val="single" w:color="auto" w:sz="12" w:space="0"/>
            </w:tcBorders>
            <w:vAlign w:val="center"/>
          </w:tcPr>
          <w:p w14:paraId="48417720">
            <w:pPr>
              <w:tabs>
                <w:tab w:val="center" w:pos="4201"/>
                <w:tab w:val="right" w:leader="dot" w:pos="9298"/>
              </w:tabs>
              <w:autoSpaceDE w:val="0"/>
              <w:autoSpaceDN w:val="0"/>
              <w:adjustRightInd/>
              <w:spacing w:line="240" w:lineRule="auto"/>
              <w:jc w:val="center"/>
              <w:rPr>
                <w:rFonts w:ascii="Times New Roman" w:hAnsi="Times New Roman"/>
                <w:kern w:val="0"/>
                <w:szCs w:val="20"/>
              </w:rPr>
            </w:pPr>
            <w:r>
              <w:rPr>
                <w:rFonts w:ascii="Times New Roman" w:hAnsi="Times New Roman"/>
                <w:kern w:val="0"/>
                <w:sz w:val="18"/>
                <w:szCs w:val="18"/>
              </w:rPr>
              <w:t>≤11</w:t>
            </w:r>
          </w:p>
        </w:tc>
        <w:tc>
          <w:tcPr>
            <w:tcW w:w="629" w:type="dxa"/>
            <w:tcBorders>
              <w:top w:val="single" w:color="auto" w:sz="12" w:space="0"/>
            </w:tcBorders>
            <w:vAlign w:val="center"/>
          </w:tcPr>
          <w:p w14:paraId="4FCEDDCD">
            <w:pPr>
              <w:tabs>
                <w:tab w:val="center" w:pos="4201"/>
                <w:tab w:val="right" w:leader="dot" w:pos="9298"/>
              </w:tabs>
              <w:autoSpaceDE w:val="0"/>
              <w:autoSpaceDN w:val="0"/>
              <w:adjustRightInd/>
              <w:spacing w:line="240" w:lineRule="auto"/>
              <w:jc w:val="center"/>
              <w:rPr>
                <w:rFonts w:ascii="Times New Roman" w:hAnsi="Times New Roman"/>
                <w:kern w:val="0"/>
                <w:szCs w:val="20"/>
              </w:rPr>
            </w:pPr>
            <w:r>
              <w:rPr>
                <w:rFonts w:ascii="Times New Roman" w:hAnsi="Times New Roman"/>
                <w:kern w:val="0"/>
                <w:sz w:val="18"/>
                <w:szCs w:val="18"/>
              </w:rPr>
              <w:t>≤7</w:t>
            </w:r>
          </w:p>
        </w:tc>
        <w:tc>
          <w:tcPr>
            <w:tcW w:w="629" w:type="dxa"/>
            <w:tcBorders>
              <w:top w:val="single" w:color="auto" w:sz="12" w:space="0"/>
            </w:tcBorders>
            <w:vAlign w:val="center"/>
          </w:tcPr>
          <w:p w14:paraId="7DE8656C">
            <w:pPr>
              <w:tabs>
                <w:tab w:val="center" w:pos="4201"/>
                <w:tab w:val="right" w:leader="dot" w:pos="9298"/>
              </w:tabs>
              <w:autoSpaceDE w:val="0"/>
              <w:autoSpaceDN w:val="0"/>
              <w:adjustRightInd/>
              <w:spacing w:line="240" w:lineRule="auto"/>
              <w:jc w:val="center"/>
              <w:rPr>
                <w:rFonts w:ascii="Times New Roman" w:hAnsi="Times New Roman"/>
                <w:kern w:val="0"/>
                <w:szCs w:val="20"/>
              </w:rPr>
            </w:pPr>
            <w:r>
              <w:rPr>
                <w:rFonts w:ascii="Times New Roman" w:hAnsi="Times New Roman"/>
                <w:kern w:val="0"/>
                <w:sz w:val="18"/>
                <w:szCs w:val="18"/>
              </w:rPr>
              <w:t>≤9</w:t>
            </w:r>
          </w:p>
        </w:tc>
        <w:tc>
          <w:tcPr>
            <w:tcW w:w="666" w:type="dxa"/>
            <w:tcBorders>
              <w:top w:val="single" w:color="auto" w:sz="12" w:space="0"/>
            </w:tcBorders>
            <w:vAlign w:val="center"/>
          </w:tcPr>
          <w:p w14:paraId="65F5CA7C">
            <w:pPr>
              <w:tabs>
                <w:tab w:val="center" w:pos="4201"/>
                <w:tab w:val="right" w:leader="dot" w:pos="9298"/>
              </w:tabs>
              <w:autoSpaceDE w:val="0"/>
              <w:autoSpaceDN w:val="0"/>
              <w:adjustRightInd/>
              <w:spacing w:line="240" w:lineRule="auto"/>
              <w:jc w:val="center"/>
              <w:rPr>
                <w:rFonts w:ascii="Times New Roman" w:hAnsi="Times New Roman"/>
                <w:kern w:val="0"/>
                <w:szCs w:val="20"/>
              </w:rPr>
            </w:pPr>
            <w:r>
              <w:rPr>
                <w:rFonts w:ascii="Times New Roman" w:hAnsi="Times New Roman"/>
                <w:kern w:val="0"/>
                <w:sz w:val="18"/>
                <w:szCs w:val="18"/>
              </w:rPr>
              <w:t>课桌面/0.75m水平面</w:t>
            </w:r>
          </w:p>
        </w:tc>
        <w:tc>
          <w:tcPr>
            <w:tcW w:w="629" w:type="dxa"/>
            <w:tcBorders>
              <w:top w:val="single" w:color="auto" w:sz="12" w:space="0"/>
            </w:tcBorders>
            <w:vAlign w:val="center"/>
          </w:tcPr>
          <w:p w14:paraId="054D4702">
            <w:pPr>
              <w:tabs>
                <w:tab w:val="center" w:pos="4201"/>
                <w:tab w:val="right" w:leader="dot" w:pos="9298"/>
              </w:tabs>
              <w:autoSpaceDE w:val="0"/>
              <w:autoSpaceDN w:val="0"/>
              <w:adjustRightInd/>
              <w:spacing w:line="240" w:lineRule="auto"/>
              <w:jc w:val="center"/>
              <w:rPr>
                <w:rFonts w:ascii="Times New Roman" w:hAnsi="Times New Roman"/>
                <w:kern w:val="0"/>
                <w:szCs w:val="20"/>
              </w:rPr>
            </w:pPr>
            <w:r>
              <w:rPr>
                <w:rFonts w:ascii="Times New Roman" w:hAnsi="Times New Roman"/>
                <w:kern w:val="0"/>
                <w:sz w:val="18"/>
                <w:szCs w:val="18"/>
              </w:rPr>
              <w:t>≥0.7</w:t>
            </w:r>
          </w:p>
        </w:tc>
        <w:tc>
          <w:tcPr>
            <w:tcW w:w="670" w:type="dxa"/>
            <w:vMerge w:val="restart"/>
            <w:tcBorders>
              <w:top w:val="single" w:color="auto" w:sz="12" w:space="0"/>
            </w:tcBorders>
            <w:vAlign w:val="center"/>
          </w:tcPr>
          <w:p w14:paraId="496DC4E3">
            <w:pPr>
              <w:adjustRightInd/>
              <w:spacing w:line="240" w:lineRule="auto"/>
              <w:ind w:left="4"/>
              <w:jc w:val="center"/>
              <w:rPr>
                <w:rFonts w:ascii="Times New Roman" w:hAnsi="Times New Roman"/>
                <w:sz w:val="18"/>
                <w:szCs w:val="18"/>
              </w:rPr>
            </w:pPr>
            <w:r>
              <w:rPr>
                <w:rFonts w:ascii="Times New Roman" w:hAnsi="Times New Roman"/>
                <w:sz w:val="18"/>
                <w:szCs w:val="18"/>
              </w:rPr>
              <w:t>3300-</w:t>
            </w:r>
          </w:p>
          <w:p w14:paraId="224DF535">
            <w:pPr>
              <w:tabs>
                <w:tab w:val="center" w:pos="4201"/>
                <w:tab w:val="right" w:leader="dot" w:pos="9298"/>
              </w:tabs>
              <w:autoSpaceDE w:val="0"/>
              <w:autoSpaceDN w:val="0"/>
              <w:adjustRightInd/>
              <w:spacing w:line="240" w:lineRule="auto"/>
              <w:jc w:val="center"/>
              <w:rPr>
                <w:rFonts w:ascii="Times New Roman" w:hAnsi="Times New Roman"/>
                <w:kern w:val="0"/>
                <w:szCs w:val="20"/>
              </w:rPr>
            </w:pPr>
            <w:r>
              <w:rPr>
                <w:rFonts w:ascii="Times New Roman" w:hAnsi="Times New Roman"/>
                <w:kern w:val="0"/>
                <w:sz w:val="18"/>
                <w:szCs w:val="18"/>
              </w:rPr>
              <w:t>5300</w:t>
            </w:r>
          </w:p>
        </w:tc>
        <w:tc>
          <w:tcPr>
            <w:tcW w:w="625" w:type="dxa"/>
            <w:vMerge w:val="restart"/>
            <w:tcBorders>
              <w:top w:val="single" w:color="auto" w:sz="12" w:space="0"/>
            </w:tcBorders>
            <w:vAlign w:val="center"/>
          </w:tcPr>
          <w:p w14:paraId="6907092C">
            <w:pPr>
              <w:tabs>
                <w:tab w:val="center" w:pos="4201"/>
                <w:tab w:val="right" w:leader="dot" w:pos="9298"/>
              </w:tabs>
              <w:autoSpaceDE w:val="0"/>
              <w:autoSpaceDN w:val="0"/>
              <w:adjustRightInd/>
              <w:spacing w:line="240" w:lineRule="auto"/>
              <w:jc w:val="center"/>
              <w:rPr>
                <w:rFonts w:ascii="Times New Roman" w:hAnsi="Times New Roman"/>
                <w:kern w:val="0"/>
                <w:sz w:val="18"/>
                <w:szCs w:val="18"/>
              </w:rPr>
            </w:pPr>
            <w:r>
              <w:rPr>
                <w:rFonts w:ascii="Times New Roman" w:hAnsi="Times New Roman"/>
                <w:kern w:val="0"/>
                <w:sz w:val="18"/>
                <w:szCs w:val="18"/>
              </w:rPr>
              <w:t>符合表1</w:t>
            </w:r>
          </w:p>
          <w:p w14:paraId="5CDCBE8C">
            <w:pPr>
              <w:tabs>
                <w:tab w:val="center" w:pos="4201"/>
                <w:tab w:val="right" w:leader="dot" w:pos="9298"/>
              </w:tabs>
              <w:autoSpaceDE w:val="0"/>
              <w:autoSpaceDN w:val="0"/>
              <w:adjustRightInd/>
              <w:spacing w:line="240" w:lineRule="auto"/>
              <w:jc w:val="center"/>
              <w:rPr>
                <w:rFonts w:ascii="Times New Roman" w:hAnsi="Times New Roman"/>
                <w:kern w:val="0"/>
                <w:sz w:val="18"/>
                <w:szCs w:val="18"/>
              </w:rPr>
            </w:pPr>
            <w:r>
              <w:rPr>
                <w:rFonts w:ascii="Times New Roman" w:hAnsi="Times New Roman"/>
                <w:kern w:val="0"/>
                <w:sz w:val="18"/>
                <w:szCs w:val="18"/>
              </w:rPr>
              <w:t>要求</w:t>
            </w:r>
          </w:p>
        </w:tc>
      </w:tr>
      <w:bookmarkEnd w:id="166"/>
      <w:tr w14:paraId="627B20E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51" w:type="dxa"/>
            <w:vAlign w:val="center"/>
          </w:tcPr>
          <w:p w14:paraId="4E902926">
            <w:pPr>
              <w:tabs>
                <w:tab w:val="center" w:pos="4201"/>
                <w:tab w:val="right" w:leader="dot" w:pos="9298"/>
              </w:tabs>
              <w:autoSpaceDE w:val="0"/>
              <w:autoSpaceDN w:val="0"/>
              <w:adjustRightInd/>
              <w:spacing w:line="240" w:lineRule="auto"/>
              <w:jc w:val="center"/>
              <w:rPr>
                <w:rFonts w:ascii="Times New Roman" w:hAnsi="Times New Roman"/>
                <w:kern w:val="0"/>
                <w:szCs w:val="20"/>
              </w:rPr>
            </w:pPr>
            <w:r>
              <w:rPr>
                <w:rFonts w:ascii="Times New Roman" w:hAnsi="Times New Roman"/>
                <w:kern w:val="0"/>
                <w:sz w:val="18"/>
                <w:szCs w:val="18"/>
              </w:rPr>
              <w:t>美术教室、书法教室</w:t>
            </w:r>
          </w:p>
        </w:tc>
        <w:tc>
          <w:tcPr>
            <w:tcW w:w="628" w:type="dxa"/>
            <w:vAlign w:val="center"/>
          </w:tcPr>
          <w:p w14:paraId="10C0B6B7">
            <w:pPr>
              <w:tabs>
                <w:tab w:val="center" w:pos="4201"/>
                <w:tab w:val="right" w:leader="dot" w:pos="9298"/>
              </w:tabs>
              <w:autoSpaceDE w:val="0"/>
              <w:autoSpaceDN w:val="0"/>
              <w:adjustRightInd/>
              <w:spacing w:line="240" w:lineRule="auto"/>
              <w:jc w:val="center"/>
              <w:rPr>
                <w:rFonts w:ascii="Times New Roman" w:hAnsi="Times New Roman"/>
                <w:kern w:val="0"/>
                <w:szCs w:val="20"/>
              </w:rPr>
            </w:pPr>
            <w:r>
              <w:rPr>
                <w:rFonts w:ascii="Times New Roman" w:hAnsi="Times New Roman"/>
                <w:kern w:val="0"/>
                <w:sz w:val="18"/>
                <w:szCs w:val="18"/>
              </w:rPr>
              <w:t>≥750</w:t>
            </w:r>
          </w:p>
        </w:tc>
        <w:tc>
          <w:tcPr>
            <w:tcW w:w="628" w:type="dxa"/>
            <w:vAlign w:val="center"/>
          </w:tcPr>
          <w:p w14:paraId="52B6A110">
            <w:pPr>
              <w:tabs>
                <w:tab w:val="center" w:pos="4201"/>
                <w:tab w:val="right" w:leader="dot" w:pos="9298"/>
              </w:tabs>
              <w:autoSpaceDE w:val="0"/>
              <w:autoSpaceDN w:val="0"/>
              <w:adjustRightInd/>
              <w:spacing w:line="240" w:lineRule="auto"/>
              <w:jc w:val="center"/>
              <w:rPr>
                <w:rFonts w:ascii="Times New Roman" w:hAnsi="Times New Roman"/>
                <w:kern w:val="0"/>
                <w:szCs w:val="20"/>
              </w:rPr>
            </w:pPr>
            <w:r>
              <w:rPr>
                <w:rFonts w:ascii="Times New Roman" w:hAnsi="Times New Roman"/>
                <w:kern w:val="0"/>
                <w:sz w:val="18"/>
                <w:szCs w:val="18"/>
              </w:rPr>
              <w:t>≥500</w:t>
            </w:r>
          </w:p>
        </w:tc>
        <w:tc>
          <w:tcPr>
            <w:tcW w:w="629" w:type="dxa"/>
            <w:vAlign w:val="center"/>
          </w:tcPr>
          <w:p w14:paraId="13B900E7">
            <w:pPr>
              <w:tabs>
                <w:tab w:val="center" w:pos="4201"/>
                <w:tab w:val="right" w:leader="dot" w:pos="9298"/>
              </w:tabs>
              <w:autoSpaceDE w:val="0"/>
              <w:autoSpaceDN w:val="0"/>
              <w:adjustRightInd/>
              <w:spacing w:line="240" w:lineRule="auto"/>
              <w:jc w:val="center"/>
              <w:rPr>
                <w:rFonts w:ascii="Times New Roman" w:hAnsi="Times New Roman"/>
                <w:kern w:val="0"/>
                <w:sz w:val="18"/>
                <w:szCs w:val="18"/>
              </w:rPr>
            </w:pPr>
            <w:r>
              <w:rPr>
                <w:rFonts w:ascii="Times New Roman" w:hAnsi="Times New Roman"/>
                <w:kern w:val="0"/>
                <w:sz w:val="18"/>
                <w:szCs w:val="18"/>
              </w:rPr>
              <w:t>≥300</w:t>
            </w:r>
          </w:p>
        </w:tc>
        <w:tc>
          <w:tcPr>
            <w:tcW w:w="629" w:type="dxa"/>
            <w:vAlign w:val="center"/>
          </w:tcPr>
          <w:p w14:paraId="65586DF6">
            <w:pPr>
              <w:tabs>
                <w:tab w:val="center" w:pos="4201"/>
                <w:tab w:val="right" w:leader="dot" w:pos="9298"/>
              </w:tabs>
              <w:autoSpaceDE w:val="0"/>
              <w:autoSpaceDN w:val="0"/>
              <w:adjustRightInd/>
              <w:spacing w:line="240" w:lineRule="auto"/>
              <w:jc w:val="center"/>
              <w:rPr>
                <w:rFonts w:ascii="Times New Roman" w:hAnsi="Times New Roman"/>
                <w:kern w:val="0"/>
                <w:sz w:val="18"/>
                <w:szCs w:val="18"/>
              </w:rPr>
            </w:pPr>
            <w:r>
              <w:rPr>
                <w:rFonts w:ascii="Times New Roman" w:hAnsi="Times New Roman"/>
                <w:kern w:val="0"/>
                <w:sz w:val="18"/>
                <w:szCs w:val="18"/>
              </w:rPr>
              <w:t>≥200</w:t>
            </w:r>
          </w:p>
        </w:tc>
        <w:tc>
          <w:tcPr>
            <w:tcW w:w="629" w:type="dxa"/>
            <w:vAlign w:val="center"/>
          </w:tcPr>
          <w:p w14:paraId="0A13EE25">
            <w:pPr>
              <w:tabs>
                <w:tab w:val="center" w:pos="4201"/>
                <w:tab w:val="right" w:leader="dot" w:pos="9298"/>
              </w:tabs>
              <w:autoSpaceDE w:val="0"/>
              <w:autoSpaceDN w:val="0"/>
              <w:adjustRightInd/>
              <w:spacing w:line="240" w:lineRule="auto"/>
              <w:jc w:val="center"/>
              <w:rPr>
                <w:rFonts w:ascii="Times New Roman" w:hAnsi="Times New Roman"/>
                <w:kern w:val="0"/>
                <w:szCs w:val="20"/>
              </w:rPr>
            </w:pPr>
            <w:r>
              <w:rPr>
                <w:rFonts w:ascii="Times New Roman" w:hAnsi="Times New Roman"/>
                <w:kern w:val="0"/>
                <w:sz w:val="18"/>
                <w:szCs w:val="18"/>
              </w:rPr>
              <w:t>≤16</w:t>
            </w:r>
          </w:p>
        </w:tc>
        <w:tc>
          <w:tcPr>
            <w:tcW w:w="629" w:type="dxa"/>
            <w:vAlign w:val="center"/>
          </w:tcPr>
          <w:p w14:paraId="4333AC2F">
            <w:pPr>
              <w:tabs>
                <w:tab w:val="center" w:pos="4201"/>
                <w:tab w:val="right" w:leader="dot" w:pos="9298"/>
              </w:tabs>
              <w:autoSpaceDE w:val="0"/>
              <w:autoSpaceDN w:val="0"/>
              <w:adjustRightInd/>
              <w:spacing w:line="240" w:lineRule="auto"/>
              <w:jc w:val="center"/>
              <w:rPr>
                <w:rFonts w:ascii="Times New Roman" w:hAnsi="Times New Roman"/>
                <w:kern w:val="0"/>
                <w:szCs w:val="20"/>
              </w:rPr>
            </w:pPr>
            <w:r>
              <w:rPr>
                <w:rFonts w:ascii="Times New Roman" w:hAnsi="Times New Roman"/>
                <w:kern w:val="0"/>
                <w:sz w:val="18"/>
                <w:szCs w:val="18"/>
              </w:rPr>
              <w:t>≤19</w:t>
            </w:r>
          </w:p>
        </w:tc>
        <w:tc>
          <w:tcPr>
            <w:tcW w:w="659" w:type="dxa"/>
            <w:vAlign w:val="center"/>
          </w:tcPr>
          <w:p w14:paraId="30970861">
            <w:pPr>
              <w:adjustRightInd/>
              <w:spacing w:line="240" w:lineRule="auto"/>
              <w:jc w:val="center"/>
              <w:rPr>
                <w:rFonts w:ascii="Times New Roman" w:hAnsi="Times New Roman"/>
                <w:sz w:val="18"/>
                <w:szCs w:val="18"/>
              </w:rPr>
            </w:pPr>
            <w:r>
              <w:rPr>
                <w:rFonts w:ascii="Times New Roman" w:hAnsi="Times New Roman"/>
                <w:i/>
                <w:iCs/>
                <w:sz w:val="18"/>
                <w:szCs w:val="18"/>
              </w:rPr>
              <w:t>R</w:t>
            </w:r>
            <w:r>
              <w:rPr>
                <w:rFonts w:ascii="Times New Roman" w:hAnsi="Times New Roman"/>
                <w:position w:val="-2"/>
                <w:sz w:val="18"/>
                <w:szCs w:val="18"/>
                <w:vertAlign w:val="subscript"/>
              </w:rPr>
              <w:t>a</w:t>
            </w:r>
            <w:r>
              <w:rPr>
                <w:rFonts w:ascii="Times New Roman" w:hAnsi="Times New Roman"/>
                <w:sz w:val="18"/>
                <w:szCs w:val="18"/>
              </w:rPr>
              <w:t>≥90</w:t>
            </w:r>
          </w:p>
          <w:p w14:paraId="7DA8AD84">
            <w:pPr>
              <w:tabs>
                <w:tab w:val="center" w:pos="4201"/>
                <w:tab w:val="right" w:leader="dot" w:pos="9298"/>
              </w:tabs>
              <w:autoSpaceDE w:val="0"/>
              <w:autoSpaceDN w:val="0"/>
              <w:adjustRightInd/>
              <w:spacing w:line="240" w:lineRule="auto"/>
              <w:jc w:val="center"/>
              <w:rPr>
                <w:rFonts w:ascii="Times New Roman" w:hAnsi="Times New Roman"/>
                <w:kern w:val="0"/>
                <w:szCs w:val="20"/>
              </w:rPr>
            </w:pPr>
            <w:r>
              <w:rPr>
                <w:rFonts w:ascii="Times New Roman" w:hAnsi="Times New Roman"/>
                <w:i/>
                <w:iCs/>
                <w:kern w:val="0"/>
                <w:sz w:val="18"/>
                <w:szCs w:val="18"/>
              </w:rPr>
              <w:t>R</w:t>
            </w:r>
            <w:r>
              <w:rPr>
                <w:rFonts w:ascii="Times New Roman" w:hAnsi="Times New Roman"/>
                <w:kern w:val="0"/>
                <w:position w:val="-2"/>
                <w:sz w:val="18"/>
                <w:szCs w:val="18"/>
                <w:vertAlign w:val="subscript"/>
              </w:rPr>
              <w:t>9</w:t>
            </w:r>
            <w:r>
              <w:rPr>
                <w:rFonts w:ascii="Times New Roman" w:hAnsi="Times New Roman"/>
                <w:kern w:val="0"/>
                <w:sz w:val="18"/>
                <w:szCs w:val="18"/>
              </w:rPr>
              <w:t>≥90</w:t>
            </w:r>
          </w:p>
        </w:tc>
        <w:tc>
          <w:tcPr>
            <w:tcW w:w="659" w:type="dxa"/>
            <w:vAlign w:val="center"/>
          </w:tcPr>
          <w:p w14:paraId="4BE6AD0C">
            <w:pPr>
              <w:adjustRightInd/>
              <w:spacing w:line="240" w:lineRule="auto"/>
              <w:jc w:val="center"/>
              <w:rPr>
                <w:rFonts w:ascii="Times New Roman" w:hAnsi="Times New Roman"/>
                <w:sz w:val="18"/>
                <w:szCs w:val="18"/>
              </w:rPr>
            </w:pPr>
            <w:r>
              <w:rPr>
                <w:rFonts w:ascii="Times New Roman" w:hAnsi="Times New Roman"/>
                <w:i/>
                <w:iCs/>
                <w:sz w:val="18"/>
                <w:szCs w:val="18"/>
              </w:rPr>
              <w:t>R</w:t>
            </w:r>
            <w:r>
              <w:rPr>
                <w:rFonts w:ascii="Times New Roman" w:hAnsi="Times New Roman"/>
                <w:position w:val="-2"/>
                <w:sz w:val="18"/>
                <w:szCs w:val="18"/>
                <w:vertAlign w:val="subscript"/>
              </w:rPr>
              <w:t>a</w:t>
            </w:r>
            <w:r>
              <w:rPr>
                <w:rFonts w:ascii="Times New Roman" w:hAnsi="Times New Roman"/>
                <w:sz w:val="18"/>
                <w:szCs w:val="18"/>
              </w:rPr>
              <w:t>≥90</w:t>
            </w:r>
          </w:p>
          <w:p w14:paraId="59C8A449">
            <w:pPr>
              <w:tabs>
                <w:tab w:val="center" w:pos="4201"/>
                <w:tab w:val="right" w:leader="dot" w:pos="9298"/>
              </w:tabs>
              <w:autoSpaceDE w:val="0"/>
              <w:autoSpaceDN w:val="0"/>
              <w:adjustRightInd/>
              <w:spacing w:line="240" w:lineRule="auto"/>
              <w:jc w:val="center"/>
              <w:rPr>
                <w:rFonts w:ascii="Times New Roman" w:hAnsi="Times New Roman"/>
                <w:kern w:val="0"/>
                <w:szCs w:val="20"/>
              </w:rPr>
            </w:pPr>
            <w:r>
              <w:rPr>
                <w:rFonts w:ascii="Times New Roman" w:hAnsi="Times New Roman"/>
                <w:i/>
                <w:iCs/>
                <w:kern w:val="0"/>
                <w:sz w:val="18"/>
                <w:szCs w:val="18"/>
              </w:rPr>
              <w:t>R</w:t>
            </w:r>
            <w:r>
              <w:rPr>
                <w:rFonts w:ascii="Times New Roman" w:hAnsi="Times New Roman"/>
                <w:kern w:val="0"/>
                <w:position w:val="-2"/>
                <w:sz w:val="18"/>
                <w:szCs w:val="18"/>
                <w:vertAlign w:val="subscript"/>
              </w:rPr>
              <w:t>9</w:t>
            </w:r>
            <w:r>
              <w:rPr>
                <w:rFonts w:ascii="Times New Roman" w:hAnsi="Times New Roman"/>
                <w:kern w:val="0"/>
                <w:sz w:val="18"/>
                <w:szCs w:val="18"/>
              </w:rPr>
              <w:t>≥50</w:t>
            </w:r>
          </w:p>
        </w:tc>
        <w:tc>
          <w:tcPr>
            <w:tcW w:w="629" w:type="dxa"/>
            <w:vAlign w:val="center"/>
          </w:tcPr>
          <w:p w14:paraId="73573078">
            <w:pPr>
              <w:tabs>
                <w:tab w:val="center" w:pos="4201"/>
                <w:tab w:val="right" w:leader="dot" w:pos="9298"/>
              </w:tabs>
              <w:autoSpaceDE w:val="0"/>
              <w:autoSpaceDN w:val="0"/>
              <w:adjustRightInd/>
              <w:spacing w:line="240" w:lineRule="auto"/>
              <w:jc w:val="center"/>
              <w:rPr>
                <w:rFonts w:ascii="Times New Roman" w:hAnsi="Times New Roman"/>
                <w:kern w:val="0"/>
                <w:szCs w:val="20"/>
              </w:rPr>
            </w:pPr>
            <w:r>
              <w:rPr>
                <w:rFonts w:ascii="Times New Roman" w:hAnsi="Times New Roman"/>
                <w:kern w:val="0"/>
                <w:sz w:val="18"/>
                <w:szCs w:val="18"/>
              </w:rPr>
              <w:t>≤13</w:t>
            </w:r>
          </w:p>
        </w:tc>
        <w:tc>
          <w:tcPr>
            <w:tcW w:w="629" w:type="dxa"/>
            <w:vAlign w:val="center"/>
          </w:tcPr>
          <w:p w14:paraId="76033864">
            <w:pPr>
              <w:tabs>
                <w:tab w:val="center" w:pos="4201"/>
                <w:tab w:val="right" w:leader="dot" w:pos="9298"/>
              </w:tabs>
              <w:autoSpaceDE w:val="0"/>
              <w:autoSpaceDN w:val="0"/>
              <w:adjustRightInd/>
              <w:spacing w:line="240" w:lineRule="auto"/>
              <w:jc w:val="center"/>
              <w:rPr>
                <w:rFonts w:ascii="Times New Roman" w:hAnsi="Times New Roman"/>
                <w:kern w:val="0"/>
                <w:szCs w:val="20"/>
              </w:rPr>
            </w:pPr>
            <w:r>
              <w:rPr>
                <w:rFonts w:ascii="Times New Roman" w:hAnsi="Times New Roman"/>
                <w:kern w:val="0"/>
                <w:sz w:val="18"/>
                <w:szCs w:val="18"/>
              </w:rPr>
              <w:t>≤15</w:t>
            </w:r>
          </w:p>
        </w:tc>
        <w:tc>
          <w:tcPr>
            <w:tcW w:w="629" w:type="dxa"/>
            <w:vAlign w:val="center"/>
          </w:tcPr>
          <w:p w14:paraId="6D7F2032">
            <w:pPr>
              <w:tabs>
                <w:tab w:val="center" w:pos="4201"/>
                <w:tab w:val="right" w:leader="dot" w:pos="9298"/>
              </w:tabs>
              <w:autoSpaceDE w:val="0"/>
              <w:autoSpaceDN w:val="0"/>
              <w:adjustRightInd/>
              <w:spacing w:line="240" w:lineRule="auto"/>
              <w:jc w:val="center"/>
              <w:rPr>
                <w:rFonts w:ascii="Times New Roman" w:hAnsi="Times New Roman"/>
                <w:kern w:val="0"/>
                <w:szCs w:val="20"/>
              </w:rPr>
            </w:pPr>
            <w:r>
              <w:rPr>
                <w:rFonts w:ascii="Times New Roman" w:hAnsi="Times New Roman"/>
                <w:kern w:val="0"/>
                <w:sz w:val="18"/>
                <w:szCs w:val="18"/>
              </w:rPr>
              <w:t>≤11</w:t>
            </w:r>
          </w:p>
        </w:tc>
        <w:tc>
          <w:tcPr>
            <w:tcW w:w="629" w:type="dxa"/>
            <w:vAlign w:val="center"/>
          </w:tcPr>
          <w:p w14:paraId="59BE0739">
            <w:pPr>
              <w:tabs>
                <w:tab w:val="center" w:pos="4201"/>
                <w:tab w:val="right" w:leader="dot" w:pos="9298"/>
              </w:tabs>
              <w:autoSpaceDE w:val="0"/>
              <w:autoSpaceDN w:val="0"/>
              <w:adjustRightInd/>
              <w:spacing w:line="240" w:lineRule="auto"/>
              <w:jc w:val="center"/>
              <w:rPr>
                <w:rFonts w:ascii="Times New Roman" w:hAnsi="Times New Roman"/>
                <w:kern w:val="0"/>
                <w:szCs w:val="20"/>
              </w:rPr>
            </w:pPr>
            <w:r>
              <w:rPr>
                <w:rFonts w:ascii="Times New Roman" w:hAnsi="Times New Roman"/>
                <w:kern w:val="0"/>
                <w:sz w:val="18"/>
                <w:szCs w:val="18"/>
              </w:rPr>
              <w:t>≤13</w:t>
            </w:r>
          </w:p>
        </w:tc>
        <w:tc>
          <w:tcPr>
            <w:tcW w:w="666" w:type="dxa"/>
            <w:vAlign w:val="center"/>
          </w:tcPr>
          <w:p w14:paraId="12BDD5C3">
            <w:pPr>
              <w:tabs>
                <w:tab w:val="center" w:pos="4201"/>
                <w:tab w:val="right" w:leader="dot" w:pos="9298"/>
              </w:tabs>
              <w:autoSpaceDE w:val="0"/>
              <w:autoSpaceDN w:val="0"/>
              <w:adjustRightInd/>
              <w:spacing w:line="240" w:lineRule="auto"/>
              <w:jc w:val="center"/>
              <w:rPr>
                <w:rFonts w:ascii="Times New Roman" w:hAnsi="Times New Roman"/>
                <w:kern w:val="0"/>
                <w:szCs w:val="20"/>
              </w:rPr>
            </w:pPr>
            <w:r>
              <w:rPr>
                <w:rFonts w:ascii="Times New Roman" w:hAnsi="Times New Roman"/>
                <w:kern w:val="0"/>
                <w:sz w:val="18"/>
                <w:szCs w:val="18"/>
              </w:rPr>
              <w:t>课桌面</w:t>
            </w:r>
          </w:p>
        </w:tc>
        <w:tc>
          <w:tcPr>
            <w:tcW w:w="629" w:type="dxa"/>
            <w:vAlign w:val="center"/>
          </w:tcPr>
          <w:p w14:paraId="13CF8354">
            <w:pPr>
              <w:tabs>
                <w:tab w:val="center" w:pos="4201"/>
                <w:tab w:val="right" w:leader="dot" w:pos="9298"/>
              </w:tabs>
              <w:autoSpaceDE w:val="0"/>
              <w:autoSpaceDN w:val="0"/>
              <w:adjustRightInd/>
              <w:spacing w:line="240" w:lineRule="auto"/>
              <w:jc w:val="center"/>
              <w:rPr>
                <w:rFonts w:ascii="Times New Roman" w:hAnsi="Times New Roman"/>
                <w:kern w:val="0"/>
                <w:szCs w:val="20"/>
              </w:rPr>
            </w:pPr>
            <w:r>
              <w:rPr>
                <w:rFonts w:ascii="Times New Roman" w:hAnsi="Times New Roman"/>
                <w:kern w:val="0"/>
                <w:sz w:val="18"/>
                <w:szCs w:val="18"/>
              </w:rPr>
              <w:t>≥0.7</w:t>
            </w:r>
          </w:p>
        </w:tc>
        <w:tc>
          <w:tcPr>
            <w:tcW w:w="670" w:type="dxa"/>
            <w:vMerge w:val="continue"/>
          </w:tcPr>
          <w:p w14:paraId="0039E96A">
            <w:pPr>
              <w:tabs>
                <w:tab w:val="center" w:pos="4201"/>
                <w:tab w:val="right" w:leader="dot" w:pos="9298"/>
              </w:tabs>
              <w:autoSpaceDE w:val="0"/>
              <w:autoSpaceDN w:val="0"/>
              <w:adjustRightInd/>
              <w:spacing w:line="240" w:lineRule="auto"/>
              <w:rPr>
                <w:rFonts w:ascii="宋体" w:hAnsi="Times New Roman"/>
                <w:kern w:val="0"/>
                <w:szCs w:val="20"/>
              </w:rPr>
            </w:pPr>
          </w:p>
        </w:tc>
        <w:tc>
          <w:tcPr>
            <w:tcW w:w="625" w:type="dxa"/>
            <w:vMerge w:val="continue"/>
          </w:tcPr>
          <w:p w14:paraId="6900F6F4">
            <w:pPr>
              <w:tabs>
                <w:tab w:val="center" w:pos="4201"/>
                <w:tab w:val="right" w:leader="dot" w:pos="9298"/>
              </w:tabs>
              <w:autoSpaceDE w:val="0"/>
              <w:autoSpaceDN w:val="0"/>
              <w:adjustRightInd/>
              <w:spacing w:line="240" w:lineRule="auto"/>
              <w:rPr>
                <w:rFonts w:ascii="宋体" w:hAnsi="Times New Roman"/>
                <w:kern w:val="0"/>
                <w:szCs w:val="20"/>
              </w:rPr>
            </w:pPr>
          </w:p>
        </w:tc>
      </w:tr>
      <w:tr w14:paraId="15CF11E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51" w:type="dxa"/>
            <w:vAlign w:val="center"/>
          </w:tcPr>
          <w:p w14:paraId="4408C047">
            <w:pPr>
              <w:tabs>
                <w:tab w:val="center" w:pos="4201"/>
                <w:tab w:val="right" w:leader="dot" w:pos="9298"/>
              </w:tabs>
              <w:autoSpaceDE w:val="0"/>
              <w:autoSpaceDN w:val="0"/>
              <w:adjustRightInd/>
              <w:spacing w:line="240" w:lineRule="auto"/>
              <w:jc w:val="center"/>
              <w:rPr>
                <w:rFonts w:ascii="Times New Roman" w:hAnsi="Times New Roman"/>
                <w:kern w:val="0"/>
                <w:szCs w:val="20"/>
              </w:rPr>
            </w:pPr>
            <w:r>
              <w:rPr>
                <w:rFonts w:ascii="Times New Roman" w:hAnsi="Times New Roman"/>
                <w:kern w:val="0"/>
                <w:sz w:val="18"/>
                <w:szCs w:val="18"/>
              </w:rPr>
              <w:t>教室黑板</w:t>
            </w:r>
          </w:p>
        </w:tc>
        <w:tc>
          <w:tcPr>
            <w:tcW w:w="628" w:type="dxa"/>
            <w:vAlign w:val="center"/>
          </w:tcPr>
          <w:p w14:paraId="6A8789A9">
            <w:pPr>
              <w:tabs>
                <w:tab w:val="center" w:pos="4201"/>
                <w:tab w:val="right" w:leader="dot" w:pos="9298"/>
              </w:tabs>
              <w:autoSpaceDE w:val="0"/>
              <w:autoSpaceDN w:val="0"/>
              <w:adjustRightInd/>
              <w:spacing w:line="240" w:lineRule="auto"/>
              <w:jc w:val="center"/>
              <w:rPr>
                <w:rFonts w:ascii="Times New Roman" w:hAnsi="Times New Roman"/>
                <w:kern w:val="0"/>
                <w:szCs w:val="20"/>
              </w:rPr>
            </w:pPr>
            <w:r>
              <w:rPr>
                <w:rFonts w:ascii="Times New Roman" w:hAnsi="Times New Roman"/>
                <w:kern w:val="0"/>
                <w:sz w:val="18"/>
                <w:szCs w:val="18"/>
              </w:rPr>
              <w:t xml:space="preserve">≥750 </w:t>
            </w:r>
            <w:r>
              <w:rPr>
                <w:rFonts w:ascii="Times New Roman" w:hAnsi="Times New Roman"/>
                <w:kern w:val="0"/>
                <w:sz w:val="18"/>
                <w:szCs w:val="18"/>
                <w:vertAlign w:val="superscript"/>
              </w:rPr>
              <w:t>f</w:t>
            </w:r>
          </w:p>
        </w:tc>
        <w:tc>
          <w:tcPr>
            <w:tcW w:w="628" w:type="dxa"/>
            <w:vAlign w:val="center"/>
          </w:tcPr>
          <w:p w14:paraId="576CAC10">
            <w:pPr>
              <w:tabs>
                <w:tab w:val="center" w:pos="4201"/>
                <w:tab w:val="right" w:leader="dot" w:pos="9298"/>
              </w:tabs>
              <w:autoSpaceDE w:val="0"/>
              <w:autoSpaceDN w:val="0"/>
              <w:adjustRightInd/>
              <w:spacing w:line="240" w:lineRule="auto"/>
              <w:jc w:val="center"/>
              <w:rPr>
                <w:rFonts w:ascii="Times New Roman" w:hAnsi="Times New Roman"/>
                <w:kern w:val="0"/>
                <w:szCs w:val="20"/>
              </w:rPr>
            </w:pPr>
            <w:r>
              <w:rPr>
                <w:rFonts w:ascii="Times New Roman" w:hAnsi="Times New Roman"/>
                <w:kern w:val="0"/>
                <w:sz w:val="18"/>
                <w:szCs w:val="18"/>
              </w:rPr>
              <w:t xml:space="preserve">≥500 </w:t>
            </w:r>
            <w:r>
              <w:rPr>
                <w:rFonts w:ascii="Times New Roman" w:hAnsi="Times New Roman"/>
                <w:kern w:val="0"/>
                <w:sz w:val="18"/>
                <w:szCs w:val="18"/>
                <w:vertAlign w:val="superscript"/>
              </w:rPr>
              <w:t>f</w:t>
            </w:r>
          </w:p>
        </w:tc>
        <w:tc>
          <w:tcPr>
            <w:tcW w:w="629" w:type="dxa"/>
            <w:vAlign w:val="center"/>
          </w:tcPr>
          <w:p w14:paraId="04F9FE63">
            <w:pPr>
              <w:tabs>
                <w:tab w:val="center" w:pos="4201"/>
                <w:tab w:val="right" w:leader="dot" w:pos="9298"/>
              </w:tabs>
              <w:autoSpaceDE w:val="0"/>
              <w:autoSpaceDN w:val="0"/>
              <w:adjustRightInd/>
              <w:spacing w:line="240" w:lineRule="auto"/>
              <w:jc w:val="center"/>
              <w:rPr>
                <w:rFonts w:ascii="Times New Roman" w:hAnsi="Times New Roman"/>
                <w:w w:val="99"/>
                <w:kern w:val="0"/>
                <w:sz w:val="18"/>
                <w:szCs w:val="18"/>
              </w:rPr>
            </w:pPr>
            <w:r>
              <w:rPr>
                <w:rFonts w:ascii="Times New Roman" w:hAnsi="Times New Roman"/>
                <w:w w:val="99"/>
                <w:kern w:val="0"/>
                <w:sz w:val="18"/>
                <w:szCs w:val="18"/>
              </w:rPr>
              <w:t>——</w:t>
            </w:r>
          </w:p>
        </w:tc>
        <w:tc>
          <w:tcPr>
            <w:tcW w:w="629" w:type="dxa"/>
            <w:vAlign w:val="center"/>
          </w:tcPr>
          <w:p w14:paraId="39A25F7A">
            <w:pPr>
              <w:tabs>
                <w:tab w:val="center" w:pos="4201"/>
                <w:tab w:val="right" w:leader="dot" w:pos="9298"/>
              </w:tabs>
              <w:autoSpaceDE w:val="0"/>
              <w:autoSpaceDN w:val="0"/>
              <w:adjustRightInd/>
              <w:spacing w:line="240" w:lineRule="auto"/>
              <w:jc w:val="center"/>
              <w:rPr>
                <w:rFonts w:ascii="Times New Roman" w:hAnsi="Times New Roman"/>
                <w:w w:val="99"/>
                <w:kern w:val="0"/>
                <w:sz w:val="18"/>
                <w:szCs w:val="18"/>
              </w:rPr>
            </w:pPr>
            <w:r>
              <w:rPr>
                <w:rFonts w:ascii="Times New Roman" w:hAnsi="Times New Roman"/>
                <w:w w:val="99"/>
                <w:kern w:val="0"/>
                <w:sz w:val="18"/>
                <w:szCs w:val="18"/>
              </w:rPr>
              <w:t>——</w:t>
            </w:r>
          </w:p>
        </w:tc>
        <w:tc>
          <w:tcPr>
            <w:tcW w:w="629" w:type="dxa"/>
            <w:vAlign w:val="center"/>
          </w:tcPr>
          <w:p w14:paraId="1DD1652A">
            <w:pPr>
              <w:tabs>
                <w:tab w:val="center" w:pos="4201"/>
                <w:tab w:val="right" w:leader="dot" w:pos="9298"/>
              </w:tabs>
              <w:autoSpaceDE w:val="0"/>
              <w:autoSpaceDN w:val="0"/>
              <w:adjustRightInd/>
              <w:spacing w:line="240" w:lineRule="auto"/>
              <w:jc w:val="center"/>
              <w:rPr>
                <w:rFonts w:ascii="Times New Roman" w:hAnsi="Times New Roman"/>
                <w:kern w:val="0"/>
                <w:szCs w:val="20"/>
              </w:rPr>
            </w:pPr>
            <w:r>
              <w:rPr>
                <w:rFonts w:ascii="Times New Roman" w:hAnsi="Times New Roman"/>
                <w:w w:val="99"/>
                <w:kern w:val="0"/>
                <w:sz w:val="18"/>
                <w:szCs w:val="18"/>
              </w:rPr>
              <w:t>——</w:t>
            </w:r>
          </w:p>
        </w:tc>
        <w:tc>
          <w:tcPr>
            <w:tcW w:w="629" w:type="dxa"/>
            <w:vAlign w:val="center"/>
          </w:tcPr>
          <w:p w14:paraId="28FE1A13">
            <w:pPr>
              <w:tabs>
                <w:tab w:val="center" w:pos="4201"/>
                <w:tab w:val="right" w:leader="dot" w:pos="9298"/>
              </w:tabs>
              <w:autoSpaceDE w:val="0"/>
              <w:autoSpaceDN w:val="0"/>
              <w:adjustRightInd/>
              <w:spacing w:line="240" w:lineRule="auto"/>
              <w:jc w:val="center"/>
              <w:rPr>
                <w:rFonts w:ascii="Times New Roman" w:hAnsi="Times New Roman"/>
                <w:kern w:val="0"/>
                <w:szCs w:val="20"/>
              </w:rPr>
            </w:pPr>
            <w:r>
              <w:rPr>
                <w:rFonts w:ascii="Times New Roman" w:hAnsi="Times New Roman"/>
                <w:w w:val="99"/>
                <w:kern w:val="0"/>
                <w:sz w:val="18"/>
                <w:szCs w:val="18"/>
              </w:rPr>
              <w:t>——</w:t>
            </w:r>
          </w:p>
        </w:tc>
        <w:tc>
          <w:tcPr>
            <w:tcW w:w="659" w:type="dxa"/>
            <w:vAlign w:val="center"/>
          </w:tcPr>
          <w:p w14:paraId="580AADD7">
            <w:pPr>
              <w:adjustRightInd/>
              <w:spacing w:line="240" w:lineRule="auto"/>
              <w:jc w:val="center"/>
              <w:rPr>
                <w:rFonts w:ascii="Times New Roman" w:hAnsi="Times New Roman"/>
                <w:sz w:val="18"/>
                <w:szCs w:val="18"/>
              </w:rPr>
            </w:pPr>
            <w:r>
              <w:rPr>
                <w:rFonts w:ascii="Times New Roman" w:hAnsi="Times New Roman"/>
                <w:i/>
                <w:iCs/>
                <w:sz w:val="18"/>
                <w:szCs w:val="18"/>
              </w:rPr>
              <w:t>R</w:t>
            </w:r>
            <w:r>
              <w:rPr>
                <w:rFonts w:ascii="Times New Roman" w:hAnsi="Times New Roman"/>
                <w:position w:val="-2"/>
                <w:sz w:val="18"/>
                <w:szCs w:val="18"/>
                <w:vertAlign w:val="subscript"/>
              </w:rPr>
              <w:t>a</w:t>
            </w:r>
            <w:r>
              <w:rPr>
                <w:rFonts w:ascii="Times New Roman" w:hAnsi="Times New Roman"/>
                <w:sz w:val="18"/>
                <w:szCs w:val="18"/>
              </w:rPr>
              <w:t>≥90</w:t>
            </w:r>
          </w:p>
          <w:p w14:paraId="4DA89CE8">
            <w:pPr>
              <w:tabs>
                <w:tab w:val="center" w:pos="4201"/>
                <w:tab w:val="right" w:leader="dot" w:pos="9298"/>
              </w:tabs>
              <w:autoSpaceDE w:val="0"/>
              <w:autoSpaceDN w:val="0"/>
              <w:adjustRightInd/>
              <w:spacing w:line="240" w:lineRule="auto"/>
              <w:jc w:val="center"/>
              <w:rPr>
                <w:rFonts w:ascii="Times New Roman" w:hAnsi="Times New Roman"/>
                <w:kern w:val="0"/>
                <w:sz w:val="18"/>
                <w:szCs w:val="18"/>
              </w:rPr>
            </w:pPr>
            <w:r>
              <w:rPr>
                <w:rFonts w:ascii="Times New Roman" w:hAnsi="Times New Roman"/>
                <w:i/>
                <w:iCs/>
                <w:kern w:val="0"/>
                <w:sz w:val="18"/>
                <w:szCs w:val="18"/>
              </w:rPr>
              <w:t>R</w:t>
            </w:r>
            <w:r>
              <w:rPr>
                <w:rFonts w:ascii="Times New Roman" w:hAnsi="Times New Roman"/>
                <w:kern w:val="0"/>
                <w:position w:val="-2"/>
                <w:sz w:val="18"/>
                <w:szCs w:val="18"/>
                <w:vertAlign w:val="subscript"/>
              </w:rPr>
              <w:t>9</w:t>
            </w:r>
            <w:r>
              <w:rPr>
                <w:rFonts w:ascii="Times New Roman" w:hAnsi="Times New Roman"/>
                <w:kern w:val="0"/>
                <w:sz w:val="18"/>
                <w:szCs w:val="18"/>
              </w:rPr>
              <w:t>≥</w:t>
            </w:r>
          </w:p>
          <w:p w14:paraId="2B9DCAB7">
            <w:pPr>
              <w:tabs>
                <w:tab w:val="center" w:pos="4201"/>
                <w:tab w:val="right" w:leader="dot" w:pos="9298"/>
              </w:tabs>
              <w:autoSpaceDE w:val="0"/>
              <w:autoSpaceDN w:val="0"/>
              <w:adjustRightInd/>
              <w:spacing w:line="240" w:lineRule="auto"/>
              <w:jc w:val="center"/>
              <w:rPr>
                <w:rFonts w:ascii="Times New Roman" w:hAnsi="Times New Roman"/>
                <w:kern w:val="0"/>
                <w:szCs w:val="20"/>
              </w:rPr>
            </w:pPr>
            <w:r>
              <w:rPr>
                <w:rFonts w:ascii="Times New Roman" w:hAnsi="Times New Roman"/>
                <w:kern w:val="0"/>
                <w:sz w:val="18"/>
                <w:szCs w:val="18"/>
              </w:rPr>
              <w:t>90</w:t>
            </w:r>
          </w:p>
        </w:tc>
        <w:tc>
          <w:tcPr>
            <w:tcW w:w="659" w:type="dxa"/>
            <w:vAlign w:val="center"/>
          </w:tcPr>
          <w:p w14:paraId="49077C7A">
            <w:pPr>
              <w:adjustRightInd/>
              <w:spacing w:line="240" w:lineRule="auto"/>
              <w:jc w:val="center"/>
              <w:rPr>
                <w:rFonts w:ascii="Times New Roman" w:hAnsi="Times New Roman"/>
                <w:sz w:val="18"/>
                <w:szCs w:val="18"/>
              </w:rPr>
            </w:pPr>
            <w:r>
              <w:rPr>
                <w:rFonts w:ascii="Times New Roman" w:hAnsi="Times New Roman"/>
                <w:i/>
                <w:iCs/>
                <w:sz w:val="18"/>
                <w:szCs w:val="18"/>
              </w:rPr>
              <w:t>R</w:t>
            </w:r>
            <w:r>
              <w:rPr>
                <w:rFonts w:ascii="Times New Roman" w:hAnsi="Times New Roman"/>
                <w:position w:val="-2"/>
                <w:sz w:val="18"/>
                <w:szCs w:val="18"/>
                <w:vertAlign w:val="subscript"/>
              </w:rPr>
              <w:t>a</w:t>
            </w:r>
            <w:r>
              <w:rPr>
                <w:rFonts w:ascii="Times New Roman" w:hAnsi="Times New Roman"/>
                <w:sz w:val="18"/>
                <w:szCs w:val="18"/>
              </w:rPr>
              <w:t>≥80</w:t>
            </w:r>
          </w:p>
          <w:p w14:paraId="3257540D">
            <w:pPr>
              <w:tabs>
                <w:tab w:val="center" w:pos="4201"/>
                <w:tab w:val="right" w:leader="dot" w:pos="9298"/>
              </w:tabs>
              <w:autoSpaceDE w:val="0"/>
              <w:autoSpaceDN w:val="0"/>
              <w:adjustRightInd/>
              <w:spacing w:line="240" w:lineRule="auto"/>
              <w:jc w:val="center"/>
              <w:rPr>
                <w:rFonts w:ascii="Times New Roman" w:hAnsi="Times New Roman"/>
                <w:kern w:val="0"/>
                <w:sz w:val="18"/>
                <w:szCs w:val="18"/>
              </w:rPr>
            </w:pPr>
            <w:r>
              <w:rPr>
                <w:rFonts w:ascii="Times New Roman" w:hAnsi="Times New Roman"/>
                <w:i/>
                <w:iCs/>
                <w:kern w:val="0"/>
                <w:sz w:val="18"/>
                <w:szCs w:val="18"/>
              </w:rPr>
              <w:t>R</w:t>
            </w:r>
            <w:r>
              <w:rPr>
                <w:rFonts w:ascii="Times New Roman" w:hAnsi="Times New Roman"/>
                <w:kern w:val="0"/>
                <w:position w:val="-2"/>
                <w:sz w:val="18"/>
                <w:szCs w:val="18"/>
                <w:vertAlign w:val="subscript"/>
              </w:rPr>
              <w:t>9</w:t>
            </w:r>
            <w:r>
              <w:rPr>
                <w:rFonts w:ascii="Times New Roman" w:hAnsi="Times New Roman"/>
                <w:kern w:val="0"/>
                <w:sz w:val="18"/>
                <w:szCs w:val="18"/>
              </w:rPr>
              <w:t>≥</w:t>
            </w:r>
          </w:p>
          <w:p w14:paraId="5B81B3B8">
            <w:pPr>
              <w:tabs>
                <w:tab w:val="center" w:pos="4201"/>
                <w:tab w:val="right" w:leader="dot" w:pos="9298"/>
              </w:tabs>
              <w:autoSpaceDE w:val="0"/>
              <w:autoSpaceDN w:val="0"/>
              <w:adjustRightInd/>
              <w:spacing w:line="240" w:lineRule="auto"/>
              <w:jc w:val="center"/>
              <w:rPr>
                <w:rFonts w:ascii="Times New Roman" w:hAnsi="Times New Roman"/>
                <w:kern w:val="0"/>
                <w:szCs w:val="20"/>
              </w:rPr>
            </w:pPr>
            <w:r>
              <w:rPr>
                <w:rFonts w:ascii="Times New Roman" w:hAnsi="Times New Roman"/>
                <w:kern w:val="0"/>
                <w:sz w:val="18"/>
                <w:szCs w:val="18"/>
              </w:rPr>
              <w:t>50</w:t>
            </w:r>
          </w:p>
        </w:tc>
        <w:tc>
          <w:tcPr>
            <w:tcW w:w="629" w:type="dxa"/>
            <w:vAlign w:val="center"/>
          </w:tcPr>
          <w:p w14:paraId="2879074D">
            <w:pPr>
              <w:tabs>
                <w:tab w:val="center" w:pos="4201"/>
                <w:tab w:val="right" w:leader="dot" w:pos="9298"/>
              </w:tabs>
              <w:autoSpaceDE w:val="0"/>
              <w:autoSpaceDN w:val="0"/>
              <w:adjustRightInd/>
              <w:spacing w:line="240" w:lineRule="auto"/>
              <w:jc w:val="center"/>
              <w:rPr>
                <w:rFonts w:ascii="Times New Roman" w:hAnsi="Times New Roman"/>
                <w:kern w:val="0"/>
                <w:szCs w:val="20"/>
              </w:rPr>
            </w:pPr>
            <w:r>
              <w:rPr>
                <w:rFonts w:ascii="Times New Roman" w:hAnsi="Times New Roman"/>
                <w:w w:val="99"/>
                <w:kern w:val="0"/>
                <w:sz w:val="18"/>
                <w:szCs w:val="18"/>
              </w:rPr>
              <w:t>——</w:t>
            </w:r>
          </w:p>
        </w:tc>
        <w:tc>
          <w:tcPr>
            <w:tcW w:w="629" w:type="dxa"/>
            <w:vAlign w:val="center"/>
          </w:tcPr>
          <w:p w14:paraId="0284807E">
            <w:pPr>
              <w:tabs>
                <w:tab w:val="center" w:pos="4201"/>
                <w:tab w:val="right" w:leader="dot" w:pos="9298"/>
              </w:tabs>
              <w:autoSpaceDE w:val="0"/>
              <w:autoSpaceDN w:val="0"/>
              <w:adjustRightInd/>
              <w:spacing w:line="240" w:lineRule="auto"/>
              <w:jc w:val="center"/>
              <w:rPr>
                <w:rFonts w:ascii="Times New Roman" w:hAnsi="Times New Roman"/>
                <w:kern w:val="0"/>
                <w:szCs w:val="20"/>
              </w:rPr>
            </w:pPr>
            <w:r>
              <w:rPr>
                <w:rFonts w:ascii="Times New Roman" w:hAnsi="Times New Roman"/>
                <w:w w:val="99"/>
                <w:kern w:val="0"/>
                <w:sz w:val="18"/>
                <w:szCs w:val="18"/>
              </w:rPr>
              <w:t>——</w:t>
            </w:r>
          </w:p>
        </w:tc>
        <w:tc>
          <w:tcPr>
            <w:tcW w:w="629" w:type="dxa"/>
            <w:vAlign w:val="center"/>
          </w:tcPr>
          <w:p w14:paraId="785CE00A">
            <w:pPr>
              <w:tabs>
                <w:tab w:val="center" w:pos="4201"/>
                <w:tab w:val="right" w:leader="dot" w:pos="9298"/>
              </w:tabs>
              <w:autoSpaceDE w:val="0"/>
              <w:autoSpaceDN w:val="0"/>
              <w:adjustRightInd/>
              <w:spacing w:line="240" w:lineRule="auto"/>
              <w:jc w:val="center"/>
              <w:rPr>
                <w:rFonts w:ascii="Times New Roman" w:hAnsi="Times New Roman"/>
                <w:kern w:val="0"/>
                <w:szCs w:val="20"/>
              </w:rPr>
            </w:pPr>
            <w:r>
              <w:rPr>
                <w:rFonts w:ascii="Times New Roman" w:hAnsi="Times New Roman"/>
                <w:w w:val="99"/>
                <w:kern w:val="0"/>
                <w:sz w:val="18"/>
                <w:szCs w:val="18"/>
              </w:rPr>
              <w:t>——</w:t>
            </w:r>
          </w:p>
        </w:tc>
        <w:tc>
          <w:tcPr>
            <w:tcW w:w="629" w:type="dxa"/>
            <w:vAlign w:val="center"/>
          </w:tcPr>
          <w:p w14:paraId="0FBD8186">
            <w:pPr>
              <w:tabs>
                <w:tab w:val="center" w:pos="4201"/>
                <w:tab w:val="right" w:leader="dot" w:pos="9298"/>
              </w:tabs>
              <w:autoSpaceDE w:val="0"/>
              <w:autoSpaceDN w:val="0"/>
              <w:adjustRightInd/>
              <w:spacing w:line="240" w:lineRule="auto"/>
              <w:jc w:val="center"/>
              <w:rPr>
                <w:rFonts w:ascii="Times New Roman" w:hAnsi="Times New Roman"/>
                <w:kern w:val="0"/>
                <w:szCs w:val="20"/>
              </w:rPr>
            </w:pPr>
            <w:r>
              <w:rPr>
                <w:rFonts w:ascii="Times New Roman" w:hAnsi="Times New Roman"/>
                <w:w w:val="99"/>
                <w:kern w:val="0"/>
                <w:sz w:val="18"/>
                <w:szCs w:val="18"/>
              </w:rPr>
              <w:t>——</w:t>
            </w:r>
          </w:p>
        </w:tc>
        <w:tc>
          <w:tcPr>
            <w:tcW w:w="666" w:type="dxa"/>
            <w:vAlign w:val="center"/>
          </w:tcPr>
          <w:p w14:paraId="12948B80">
            <w:pPr>
              <w:tabs>
                <w:tab w:val="center" w:pos="4201"/>
                <w:tab w:val="right" w:leader="dot" w:pos="9298"/>
              </w:tabs>
              <w:autoSpaceDE w:val="0"/>
              <w:autoSpaceDN w:val="0"/>
              <w:adjustRightInd/>
              <w:spacing w:line="240" w:lineRule="auto"/>
              <w:jc w:val="center"/>
              <w:rPr>
                <w:rFonts w:ascii="Times New Roman" w:hAnsi="Times New Roman"/>
                <w:kern w:val="0"/>
                <w:szCs w:val="20"/>
              </w:rPr>
            </w:pPr>
            <w:r>
              <w:rPr>
                <w:rFonts w:ascii="Times New Roman" w:hAnsi="Times New Roman"/>
                <w:kern w:val="0"/>
                <w:sz w:val="18"/>
                <w:szCs w:val="18"/>
              </w:rPr>
              <w:t>黑板面</w:t>
            </w:r>
          </w:p>
        </w:tc>
        <w:tc>
          <w:tcPr>
            <w:tcW w:w="629" w:type="dxa"/>
            <w:vAlign w:val="center"/>
          </w:tcPr>
          <w:p w14:paraId="5351A490">
            <w:pPr>
              <w:tabs>
                <w:tab w:val="center" w:pos="4201"/>
                <w:tab w:val="right" w:leader="dot" w:pos="9298"/>
              </w:tabs>
              <w:autoSpaceDE w:val="0"/>
              <w:autoSpaceDN w:val="0"/>
              <w:adjustRightInd/>
              <w:spacing w:line="240" w:lineRule="auto"/>
              <w:jc w:val="center"/>
              <w:rPr>
                <w:rFonts w:ascii="Times New Roman" w:hAnsi="Times New Roman"/>
                <w:kern w:val="0"/>
                <w:szCs w:val="20"/>
              </w:rPr>
            </w:pPr>
            <w:r>
              <w:rPr>
                <w:rFonts w:ascii="Times New Roman" w:hAnsi="Times New Roman"/>
                <w:kern w:val="0"/>
                <w:sz w:val="18"/>
                <w:szCs w:val="18"/>
              </w:rPr>
              <w:t xml:space="preserve">≥0.8 </w:t>
            </w:r>
            <w:r>
              <w:rPr>
                <w:rFonts w:ascii="Times New Roman" w:hAnsi="Times New Roman"/>
                <w:kern w:val="0"/>
                <w:sz w:val="18"/>
                <w:szCs w:val="18"/>
                <w:vertAlign w:val="superscript"/>
              </w:rPr>
              <w:t>g</w:t>
            </w:r>
          </w:p>
        </w:tc>
        <w:tc>
          <w:tcPr>
            <w:tcW w:w="670" w:type="dxa"/>
            <w:vMerge w:val="continue"/>
          </w:tcPr>
          <w:p w14:paraId="47288197">
            <w:pPr>
              <w:tabs>
                <w:tab w:val="center" w:pos="4201"/>
                <w:tab w:val="right" w:leader="dot" w:pos="9298"/>
              </w:tabs>
              <w:autoSpaceDE w:val="0"/>
              <w:autoSpaceDN w:val="0"/>
              <w:adjustRightInd/>
              <w:spacing w:line="240" w:lineRule="auto"/>
              <w:rPr>
                <w:rFonts w:ascii="宋体" w:hAnsi="Times New Roman"/>
                <w:kern w:val="0"/>
                <w:szCs w:val="20"/>
              </w:rPr>
            </w:pPr>
          </w:p>
        </w:tc>
        <w:tc>
          <w:tcPr>
            <w:tcW w:w="625" w:type="dxa"/>
            <w:vMerge w:val="continue"/>
          </w:tcPr>
          <w:p w14:paraId="48706C38">
            <w:pPr>
              <w:tabs>
                <w:tab w:val="center" w:pos="4201"/>
                <w:tab w:val="right" w:leader="dot" w:pos="9298"/>
              </w:tabs>
              <w:autoSpaceDE w:val="0"/>
              <w:autoSpaceDN w:val="0"/>
              <w:adjustRightInd/>
              <w:spacing w:line="240" w:lineRule="auto"/>
              <w:rPr>
                <w:rFonts w:ascii="宋体" w:hAnsi="Times New Roman"/>
                <w:kern w:val="0"/>
                <w:szCs w:val="20"/>
              </w:rPr>
            </w:pPr>
          </w:p>
        </w:tc>
      </w:tr>
      <w:tr w14:paraId="1526053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24" w:hRule="atLeast"/>
        </w:trPr>
        <w:tc>
          <w:tcPr>
            <w:tcW w:w="951" w:type="dxa"/>
            <w:vAlign w:val="center"/>
          </w:tcPr>
          <w:p w14:paraId="3B02A6B5">
            <w:pPr>
              <w:tabs>
                <w:tab w:val="center" w:pos="4201"/>
                <w:tab w:val="right" w:leader="dot" w:pos="9298"/>
              </w:tabs>
              <w:autoSpaceDE w:val="0"/>
              <w:autoSpaceDN w:val="0"/>
              <w:adjustRightInd/>
              <w:spacing w:line="240" w:lineRule="auto"/>
              <w:jc w:val="center"/>
              <w:rPr>
                <w:rFonts w:ascii="Times New Roman" w:hAnsi="Times New Roman"/>
                <w:kern w:val="0"/>
                <w:szCs w:val="20"/>
              </w:rPr>
            </w:pPr>
            <w:r>
              <w:rPr>
                <w:rFonts w:ascii="Times New Roman" w:hAnsi="Times New Roman"/>
                <w:kern w:val="0"/>
                <w:sz w:val="18"/>
                <w:szCs w:val="18"/>
              </w:rPr>
              <w:t>计算机教室、 电子阅览室</w:t>
            </w:r>
          </w:p>
        </w:tc>
        <w:tc>
          <w:tcPr>
            <w:tcW w:w="628" w:type="dxa"/>
            <w:vAlign w:val="center"/>
          </w:tcPr>
          <w:p w14:paraId="6F25477F">
            <w:pPr>
              <w:tabs>
                <w:tab w:val="center" w:pos="4201"/>
                <w:tab w:val="right" w:leader="dot" w:pos="9298"/>
              </w:tabs>
              <w:autoSpaceDE w:val="0"/>
              <w:autoSpaceDN w:val="0"/>
              <w:adjustRightInd/>
              <w:spacing w:line="240" w:lineRule="auto"/>
              <w:jc w:val="center"/>
              <w:rPr>
                <w:rFonts w:ascii="Times New Roman" w:hAnsi="Times New Roman"/>
                <w:kern w:val="0"/>
                <w:szCs w:val="20"/>
              </w:rPr>
            </w:pPr>
            <w:r>
              <w:rPr>
                <w:rFonts w:ascii="Times New Roman" w:hAnsi="Times New Roman"/>
                <w:kern w:val="0"/>
                <w:sz w:val="18"/>
                <w:szCs w:val="18"/>
              </w:rPr>
              <w:t>≥750</w:t>
            </w:r>
          </w:p>
        </w:tc>
        <w:tc>
          <w:tcPr>
            <w:tcW w:w="628" w:type="dxa"/>
            <w:vAlign w:val="center"/>
          </w:tcPr>
          <w:p w14:paraId="79E22F73">
            <w:pPr>
              <w:tabs>
                <w:tab w:val="center" w:pos="4201"/>
                <w:tab w:val="right" w:leader="dot" w:pos="9298"/>
              </w:tabs>
              <w:autoSpaceDE w:val="0"/>
              <w:autoSpaceDN w:val="0"/>
              <w:adjustRightInd/>
              <w:spacing w:line="240" w:lineRule="auto"/>
              <w:jc w:val="center"/>
              <w:rPr>
                <w:rFonts w:ascii="Times New Roman" w:hAnsi="Times New Roman"/>
                <w:kern w:val="0"/>
                <w:szCs w:val="20"/>
              </w:rPr>
            </w:pPr>
            <w:r>
              <w:rPr>
                <w:rFonts w:ascii="Times New Roman" w:hAnsi="Times New Roman"/>
                <w:kern w:val="0"/>
                <w:sz w:val="18"/>
                <w:szCs w:val="18"/>
              </w:rPr>
              <w:t>≥500</w:t>
            </w:r>
          </w:p>
        </w:tc>
        <w:tc>
          <w:tcPr>
            <w:tcW w:w="629" w:type="dxa"/>
            <w:vAlign w:val="center"/>
          </w:tcPr>
          <w:p w14:paraId="717921B8">
            <w:pPr>
              <w:tabs>
                <w:tab w:val="center" w:pos="4201"/>
                <w:tab w:val="right" w:leader="dot" w:pos="9298"/>
              </w:tabs>
              <w:autoSpaceDE w:val="0"/>
              <w:autoSpaceDN w:val="0"/>
              <w:adjustRightInd/>
              <w:spacing w:line="240" w:lineRule="auto"/>
              <w:jc w:val="center"/>
              <w:rPr>
                <w:rFonts w:ascii="Times New Roman" w:hAnsi="Times New Roman"/>
                <w:kern w:val="0"/>
                <w:sz w:val="18"/>
                <w:szCs w:val="18"/>
              </w:rPr>
            </w:pPr>
            <w:r>
              <w:rPr>
                <w:rFonts w:ascii="Times New Roman" w:hAnsi="Times New Roman"/>
                <w:kern w:val="0"/>
                <w:sz w:val="18"/>
                <w:szCs w:val="18"/>
              </w:rPr>
              <w:t>≥300</w:t>
            </w:r>
          </w:p>
        </w:tc>
        <w:tc>
          <w:tcPr>
            <w:tcW w:w="629" w:type="dxa"/>
            <w:vAlign w:val="center"/>
          </w:tcPr>
          <w:p w14:paraId="3965C651">
            <w:pPr>
              <w:tabs>
                <w:tab w:val="center" w:pos="4201"/>
                <w:tab w:val="right" w:leader="dot" w:pos="9298"/>
              </w:tabs>
              <w:autoSpaceDE w:val="0"/>
              <w:autoSpaceDN w:val="0"/>
              <w:adjustRightInd/>
              <w:spacing w:line="240" w:lineRule="auto"/>
              <w:jc w:val="center"/>
              <w:rPr>
                <w:rFonts w:ascii="Times New Roman" w:hAnsi="Times New Roman"/>
                <w:kern w:val="0"/>
                <w:sz w:val="18"/>
                <w:szCs w:val="18"/>
              </w:rPr>
            </w:pPr>
            <w:r>
              <w:rPr>
                <w:rFonts w:ascii="Times New Roman" w:hAnsi="Times New Roman"/>
                <w:kern w:val="0"/>
                <w:sz w:val="18"/>
                <w:szCs w:val="18"/>
              </w:rPr>
              <w:t>≥200</w:t>
            </w:r>
          </w:p>
        </w:tc>
        <w:tc>
          <w:tcPr>
            <w:tcW w:w="629" w:type="dxa"/>
            <w:vAlign w:val="center"/>
          </w:tcPr>
          <w:p w14:paraId="36C77051">
            <w:pPr>
              <w:tabs>
                <w:tab w:val="center" w:pos="4201"/>
                <w:tab w:val="right" w:leader="dot" w:pos="9298"/>
              </w:tabs>
              <w:autoSpaceDE w:val="0"/>
              <w:autoSpaceDN w:val="0"/>
              <w:adjustRightInd/>
              <w:spacing w:line="240" w:lineRule="auto"/>
              <w:jc w:val="center"/>
              <w:rPr>
                <w:rFonts w:ascii="Times New Roman" w:hAnsi="Times New Roman"/>
                <w:kern w:val="0"/>
                <w:szCs w:val="20"/>
              </w:rPr>
            </w:pPr>
            <w:r>
              <w:rPr>
                <w:rFonts w:ascii="Times New Roman" w:hAnsi="Times New Roman"/>
                <w:kern w:val="0"/>
                <w:sz w:val="18"/>
                <w:szCs w:val="18"/>
              </w:rPr>
              <w:t>≤16</w:t>
            </w:r>
          </w:p>
        </w:tc>
        <w:tc>
          <w:tcPr>
            <w:tcW w:w="629" w:type="dxa"/>
            <w:vAlign w:val="center"/>
          </w:tcPr>
          <w:p w14:paraId="21CC866A">
            <w:pPr>
              <w:tabs>
                <w:tab w:val="center" w:pos="4201"/>
                <w:tab w:val="right" w:leader="dot" w:pos="9298"/>
              </w:tabs>
              <w:autoSpaceDE w:val="0"/>
              <w:autoSpaceDN w:val="0"/>
              <w:adjustRightInd/>
              <w:spacing w:line="240" w:lineRule="auto"/>
              <w:jc w:val="center"/>
              <w:rPr>
                <w:rFonts w:ascii="Times New Roman" w:hAnsi="Times New Roman"/>
                <w:kern w:val="0"/>
                <w:szCs w:val="20"/>
              </w:rPr>
            </w:pPr>
            <w:r>
              <w:rPr>
                <w:rFonts w:ascii="Times New Roman" w:hAnsi="Times New Roman"/>
                <w:kern w:val="0"/>
                <w:sz w:val="18"/>
                <w:szCs w:val="18"/>
              </w:rPr>
              <w:t>≤19</w:t>
            </w:r>
          </w:p>
        </w:tc>
        <w:tc>
          <w:tcPr>
            <w:tcW w:w="659" w:type="dxa"/>
            <w:vAlign w:val="center"/>
          </w:tcPr>
          <w:p w14:paraId="4E1B9625">
            <w:pPr>
              <w:adjustRightInd/>
              <w:spacing w:line="240" w:lineRule="auto"/>
              <w:jc w:val="center"/>
              <w:rPr>
                <w:rFonts w:ascii="Times New Roman" w:hAnsi="Times New Roman"/>
                <w:sz w:val="18"/>
                <w:szCs w:val="18"/>
              </w:rPr>
            </w:pPr>
            <w:r>
              <w:rPr>
                <w:rFonts w:ascii="Times New Roman" w:hAnsi="Times New Roman"/>
                <w:i/>
                <w:iCs/>
                <w:sz w:val="18"/>
                <w:szCs w:val="18"/>
              </w:rPr>
              <w:t>R</w:t>
            </w:r>
            <w:r>
              <w:rPr>
                <w:rFonts w:ascii="Times New Roman" w:hAnsi="Times New Roman"/>
                <w:position w:val="-2"/>
                <w:sz w:val="18"/>
                <w:szCs w:val="18"/>
                <w:vertAlign w:val="subscript"/>
              </w:rPr>
              <w:t>a</w:t>
            </w:r>
            <w:r>
              <w:rPr>
                <w:rFonts w:ascii="Times New Roman" w:hAnsi="Times New Roman"/>
                <w:sz w:val="18"/>
                <w:szCs w:val="18"/>
              </w:rPr>
              <w:t>≥90</w:t>
            </w:r>
          </w:p>
          <w:p w14:paraId="4A63A64D">
            <w:pPr>
              <w:tabs>
                <w:tab w:val="center" w:pos="4201"/>
                <w:tab w:val="right" w:leader="dot" w:pos="9298"/>
              </w:tabs>
              <w:autoSpaceDE w:val="0"/>
              <w:autoSpaceDN w:val="0"/>
              <w:adjustRightInd/>
              <w:spacing w:line="240" w:lineRule="auto"/>
              <w:jc w:val="center"/>
              <w:rPr>
                <w:rFonts w:ascii="Times New Roman" w:hAnsi="Times New Roman"/>
                <w:kern w:val="0"/>
                <w:szCs w:val="20"/>
              </w:rPr>
            </w:pPr>
            <w:r>
              <w:rPr>
                <w:rFonts w:ascii="Times New Roman" w:hAnsi="Times New Roman"/>
                <w:i/>
                <w:iCs/>
                <w:kern w:val="0"/>
                <w:sz w:val="18"/>
                <w:szCs w:val="18"/>
              </w:rPr>
              <w:t>R</w:t>
            </w:r>
            <w:r>
              <w:rPr>
                <w:rFonts w:ascii="Times New Roman" w:hAnsi="Times New Roman"/>
                <w:kern w:val="0"/>
                <w:position w:val="-2"/>
                <w:sz w:val="18"/>
                <w:szCs w:val="18"/>
                <w:vertAlign w:val="subscript"/>
              </w:rPr>
              <w:t>9</w:t>
            </w:r>
            <w:r>
              <w:rPr>
                <w:rFonts w:ascii="Times New Roman" w:hAnsi="Times New Roman"/>
                <w:kern w:val="0"/>
                <w:sz w:val="18"/>
                <w:szCs w:val="18"/>
              </w:rPr>
              <w:t>≥90</w:t>
            </w:r>
          </w:p>
        </w:tc>
        <w:tc>
          <w:tcPr>
            <w:tcW w:w="659" w:type="dxa"/>
            <w:vAlign w:val="center"/>
          </w:tcPr>
          <w:p w14:paraId="54C8733F">
            <w:pPr>
              <w:adjustRightInd/>
              <w:spacing w:line="240" w:lineRule="auto"/>
              <w:jc w:val="center"/>
              <w:rPr>
                <w:rFonts w:ascii="Times New Roman" w:hAnsi="Times New Roman"/>
                <w:sz w:val="18"/>
                <w:szCs w:val="18"/>
              </w:rPr>
            </w:pPr>
            <w:r>
              <w:rPr>
                <w:rFonts w:ascii="Times New Roman" w:hAnsi="Times New Roman"/>
                <w:i/>
                <w:iCs/>
                <w:sz w:val="18"/>
                <w:szCs w:val="18"/>
              </w:rPr>
              <w:t>R</w:t>
            </w:r>
            <w:r>
              <w:rPr>
                <w:rFonts w:ascii="Times New Roman" w:hAnsi="Times New Roman"/>
                <w:position w:val="-2"/>
                <w:sz w:val="18"/>
                <w:szCs w:val="18"/>
                <w:vertAlign w:val="subscript"/>
              </w:rPr>
              <w:t>a</w:t>
            </w:r>
            <w:r>
              <w:rPr>
                <w:rFonts w:ascii="Times New Roman" w:hAnsi="Times New Roman"/>
                <w:sz w:val="18"/>
                <w:szCs w:val="18"/>
              </w:rPr>
              <w:t>≥80</w:t>
            </w:r>
          </w:p>
          <w:p w14:paraId="18722429">
            <w:pPr>
              <w:tabs>
                <w:tab w:val="center" w:pos="4201"/>
                <w:tab w:val="right" w:leader="dot" w:pos="9298"/>
              </w:tabs>
              <w:autoSpaceDE w:val="0"/>
              <w:autoSpaceDN w:val="0"/>
              <w:adjustRightInd/>
              <w:spacing w:line="240" w:lineRule="auto"/>
              <w:jc w:val="center"/>
              <w:rPr>
                <w:rFonts w:ascii="Times New Roman" w:hAnsi="Times New Roman"/>
                <w:kern w:val="0"/>
                <w:szCs w:val="20"/>
              </w:rPr>
            </w:pPr>
            <w:r>
              <w:rPr>
                <w:rFonts w:ascii="Times New Roman" w:hAnsi="Times New Roman"/>
                <w:i/>
                <w:iCs/>
                <w:kern w:val="0"/>
                <w:sz w:val="18"/>
                <w:szCs w:val="18"/>
              </w:rPr>
              <w:t>R</w:t>
            </w:r>
            <w:r>
              <w:rPr>
                <w:rFonts w:ascii="Times New Roman" w:hAnsi="Times New Roman"/>
                <w:kern w:val="0"/>
                <w:position w:val="-2"/>
                <w:sz w:val="18"/>
                <w:szCs w:val="18"/>
                <w:vertAlign w:val="subscript"/>
              </w:rPr>
              <w:t>9</w:t>
            </w:r>
            <w:r>
              <w:rPr>
                <w:rFonts w:ascii="Times New Roman" w:hAnsi="Times New Roman"/>
                <w:kern w:val="0"/>
                <w:sz w:val="18"/>
                <w:szCs w:val="18"/>
              </w:rPr>
              <w:t>≥50</w:t>
            </w:r>
          </w:p>
        </w:tc>
        <w:tc>
          <w:tcPr>
            <w:tcW w:w="629" w:type="dxa"/>
            <w:vAlign w:val="center"/>
          </w:tcPr>
          <w:p w14:paraId="70131845">
            <w:pPr>
              <w:tabs>
                <w:tab w:val="center" w:pos="4201"/>
                <w:tab w:val="right" w:leader="dot" w:pos="9298"/>
              </w:tabs>
              <w:autoSpaceDE w:val="0"/>
              <w:autoSpaceDN w:val="0"/>
              <w:adjustRightInd/>
              <w:spacing w:line="240" w:lineRule="auto"/>
              <w:jc w:val="center"/>
              <w:rPr>
                <w:rFonts w:ascii="Times New Roman" w:hAnsi="Times New Roman"/>
                <w:kern w:val="0"/>
                <w:szCs w:val="20"/>
              </w:rPr>
            </w:pPr>
            <w:r>
              <w:rPr>
                <w:rFonts w:ascii="Times New Roman" w:hAnsi="Times New Roman"/>
                <w:kern w:val="0"/>
                <w:sz w:val="18"/>
                <w:szCs w:val="18"/>
              </w:rPr>
              <w:t>≤13</w:t>
            </w:r>
          </w:p>
        </w:tc>
        <w:tc>
          <w:tcPr>
            <w:tcW w:w="629" w:type="dxa"/>
            <w:vAlign w:val="center"/>
          </w:tcPr>
          <w:p w14:paraId="037B73B1">
            <w:pPr>
              <w:tabs>
                <w:tab w:val="center" w:pos="4201"/>
                <w:tab w:val="right" w:leader="dot" w:pos="9298"/>
              </w:tabs>
              <w:autoSpaceDE w:val="0"/>
              <w:autoSpaceDN w:val="0"/>
              <w:adjustRightInd/>
              <w:spacing w:line="240" w:lineRule="auto"/>
              <w:jc w:val="center"/>
              <w:rPr>
                <w:rFonts w:ascii="Times New Roman" w:hAnsi="Times New Roman"/>
                <w:kern w:val="0"/>
                <w:szCs w:val="20"/>
              </w:rPr>
            </w:pPr>
            <w:r>
              <w:rPr>
                <w:rFonts w:ascii="Times New Roman" w:hAnsi="Times New Roman"/>
                <w:kern w:val="0"/>
                <w:sz w:val="18"/>
                <w:szCs w:val="18"/>
              </w:rPr>
              <w:t>≤15</w:t>
            </w:r>
          </w:p>
        </w:tc>
        <w:tc>
          <w:tcPr>
            <w:tcW w:w="629" w:type="dxa"/>
            <w:vAlign w:val="center"/>
          </w:tcPr>
          <w:p w14:paraId="3AD95BA0">
            <w:pPr>
              <w:tabs>
                <w:tab w:val="center" w:pos="4201"/>
                <w:tab w:val="right" w:leader="dot" w:pos="9298"/>
              </w:tabs>
              <w:autoSpaceDE w:val="0"/>
              <w:autoSpaceDN w:val="0"/>
              <w:adjustRightInd/>
              <w:spacing w:line="240" w:lineRule="auto"/>
              <w:jc w:val="center"/>
              <w:rPr>
                <w:rFonts w:ascii="Times New Roman" w:hAnsi="Times New Roman"/>
                <w:kern w:val="0"/>
                <w:szCs w:val="20"/>
              </w:rPr>
            </w:pPr>
            <w:r>
              <w:rPr>
                <w:rFonts w:ascii="Times New Roman" w:hAnsi="Times New Roman"/>
                <w:kern w:val="0"/>
                <w:sz w:val="18"/>
                <w:szCs w:val="18"/>
              </w:rPr>
              <w:t>≤11</w:t>
            </w:r>
          </w:p>
        </w:tc>
        <w:tc>
          <w:tcPr>
            <w:tcW w:w="629" w:type="dxa"/>
            <w:vAlign w:val="center"/>
          </w:tcPr>
          <w:p w14:paraId="4A7D32E2">
            <w:pPr>
              <w:tabs>
                <w:tab w:val="center" w:pos="4201"/>
                <w:tab w:val="right" w:leader="dot" w:pos="9298"/>
              </w:tabs>
              <w:autoSpaceDE w:val="0"/>
              <w:autoSpaceDN w:val="0"/>
              <w:adjustRightInd/>
              <w:spacing w:line="240" w:lineRule="auto"/>
              <w:jc w:val="center"/>
              <w:rPr>
                <w:rFonts w:ascii="Times New Roman" w:hAnsi="Times New Roman"/>
                <w:kern w:val="0"/>
                <w:szCs w:val="20"/>
              </w:rPr>
            </w:pPr>
            <w:r>
              <w:rPr>
                <w:rFonts w:ascii="Times New Roman" w:hAnsi="Times New Roman"/>
                <w:kern w:val="0"/>
                <w:sz w:val="18"/>
                <w:szCs w:val="18"/>
              </w:rPr>
              <w:t>≤13</w:t>
            </w:r>
          </w:p>
        </w:tc>
        <w:tc>
          <w:tcPr>
            <w:tcW w:w="666" w:type="dxa"/>
            <w:vAlign w:val="center"/>
          </w:tcPr>
          <w:p w14:paraId="371215E0">
            <w:pPr>
              <w:tabs>
                <w:tab w:val="center" w:pos="4201"/>
                <w:tab w:val="right" w:leader="dot" w:pos="9298"/>
              </w:tabs>
              <w:autoSpaceDE w:val="0"/>
              <w:autoSpaceDN w:val="0"/>
              <w:adjustRightInd/>
              <w:spacing w:line="240" w:lineRule="auto"/>
              <w:jc w:val="center"/>
              <w:rPr>
                <w:rFonts w:ascii="Times New Roman" w:hAnsi="Times New Roman"/>
                <w:kern w:val="0"/>
                <w:szCs w:val="20"/>
              </w:rPr>
            </w:pPr>
            <w:r>
              <w:rPr>
                <w:rFonts w:ascii="Times New Roman" w:hAnsi="Times New Roman"/>
                <w:kern w:val="0"/>
                <w:sz w:val="18"/>
                <w:szCs w:val="18"/>
              </w:rPr>
              <w:t>0.75m水平面</w:t>
            </w:r>
          </w:p>
        </w:tc>
        <w:tc>
          <w:tcPr>
            <w:tcW w:w="629" w:type="dxa"/>
            <w:vAlign w:val="center"/>
          </w:tcPr>
          <w:p w14:paraId="756FAD83">
            <w:pPr>
              <w:tabs>
                <w:tab w:val="center" w:pos="4201"/>
                <w:tab w:val="right" w:leader="dot" w:pos="9298"/>
              </w:tabs>
              <w:autoSpaceDE w:val="0"/>
              <w:autoSpaceDN w:val="0"/>
              <w:adjustRightInd/>
              <w:spacing w:line="240" w:lineRule="auto"/>
              <w:jc w:val="center"/>
              <w:rPr>
                <w:rFonts w:ascii="Times New Roman" w:hAnsi="Times New Roman"/>
                <w:kern w:val="0"/>
                <w:szCs w:val="20"/>
              </w:rPr>
            </w:pPr>
            <w:r>
              <w:rPr>
                <w:rFonts w:ascii="Times New Roman" w:hAnsi="Times New Roman"/>
                <w:kern w:val="0"/>
                <w:sz w:val="18"/>
                <w:szCs w:val="18"/>
              </w:rPr>
              <w:t>≥0.7</w:t>
            </w:r>
          </w:p>
        </w:tc>
        <w:tc>
          <w:tcPr>
            <w:tcW w:w="670" w:type="dxa"/>
            <w:vMerge w:val="continue"/>
          </w:tcPr>
          <w:p w14:paraId="45A01BFA">
            <w:pPr>
              <w:tabs>
                <w:tab w:val="center" w:pos="4201"/>
                <w:tab w:val="right" w:leader="dot" w:pos="9298"/>
              </w:tabs>
              <w:autoSpaceDE w:val="0"/>
              <w:autoSpaceDN w:val="0"/>
              <w:adjustRightInd/>
              <w:spacing w:line="240" w:lineRule="auto"/>
              <w:rPr>
                <w:rFonts w:ascii="宋体" w:hAnsi="Times New Roman"/>
                <w:kern w:val="0"/>
                <w:szCs w:val="20"/>
              </w:rPr>
            </w:pPr>
          </w:p>
        </w:tc>
        <w:tc>
          <w:tcPr>
            <w:tcW w:w="625" w:type="dxa"/>
            <w:vMerge w:val="continue"/>
          </w:tcPr>
          <w:p w14:paraId="2B661D32">
            <w:pPr>
              <w:tabs>
                <w:tab w:val="center" w:pos="4201"/>
                <w:tab w:val="right" w:leader="dot" w:pos="9298"/>
              </w:tabs>
              <w:autoSpaceDE w:val="0"/>
              <w:autoSpaceDN w:val="0"/>
              <w:adjustRightInd/>
              <w:spacing w:line="240" w:lineRule="auto"/>
              <w:rPr>
                <w:rFonts w:ascii="宋体" w:hAnsi="Times New Roman"/>
                <w:kern w:val="0"/>
                <w:szCs w:val="20"/>
              </w:rPr>
            </w:pPr>
          </w:p>
        </w:tc>
      </w:tr>
      <w:tr w14:paraId="4178554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147" w:type="dxa"/>
            <w:gridSpan w:val="17"/>
          </w:tcPr>
          <w:p w14:paraId="70901AC4">
            <w:pPr>
              <w:pStyle w:val="183"/>
              <w:numPr>
                <w:ilvl w:val="0"/>
                <w:numId w:val="30"/>
              </w:numPr>
              <w:rPr>
                <w:rFonts w:ascii="Times New Roman"/>
              </w:rPr>
            </w:pPr>
            <w:r>
              <w:rPr>
                <w:rFonts w:hint="eastAsia" w:ascii="Times New Roman"/>
              </w:rPr>
              <w:t>表中“——”表示不要求。</w:t>
            </w:r>
          </w:p>
          <w:p w14:paraId="5DECCC80">
            <w:pPr>
              <w:pStyle w:val="183"/>
              <w:numPr>
                <w:ilvl w:val="0"/>
                <w:numId w:val="30"/>
              </w:numPr>
              <w:rPr>
                <w:rFonts w:ascii="Times New Roman"/>
              </w:rPr>
            </w:pPr>
            <w:r>
              <w:rPr>
                <w:rFonts w:hint="eastAsia" w:ascii="Times New Roman"/>
              </w:rPr>
              <w:t>现行值为教室照明应满足的最低要求，有条件的教室可以提升到目标值。</w:t>
            </w:r>
          </w:p>
          <w:p w14:paraId="7F001A7C">
            <w:pPr>
              <w:pStyle w:val="183"/>
              <w:numPr>
                <w:ilvl w:val="0"/>
                <w:numId w:val="30"/>
              </w:numPr>
              <w:rPr>
                <w:rFonts w:ascii="Times New Roman"/>
              </w:rPr>
            </w:pPr>
            <w:r>
              <w:rPr>
                <w:rFonts w:hint="eastAsia" w:ascii="Times New Roman"/>
              </w:rPr>
              <w:t>其余特殊教室照明可参照表2的要求。</w:t>
            </w:r>
          </w:p>
          <w:p w14:paraId="73C7274A">
            <w:pPr>
              <w:pStyle w:val="183"/>
              <w:rPr>
                <w:rFonts w:ascii="Times New Roman"/>
              </w:rPr>
            </w:pPr>
            <w:r>
              <w:rPr>
                <w:vertAlign w:val="superscript"/>
              </w:rPr>
              <w:t>a</w:t>
            </w:r>
            <w:r>
              <w:rPr>
                <w:rFonts w:ascii="Times New Roman"/>
                <w:vertAlign w:val="superscript"/>
              </w:rPr>
              <w:t xml:space="preserve">   </w:t>
            </w:r>
            <w:r>
              <w:rPr>
                <w:rFonts w:ascii="Times New Roman"/>
              </w:rPr>
              <w:t>兼顾白天和夜间长期使用的教室，宜考核视黑素响应日光（D65）等效照度m-EDI。</w:t>
            </w:r>
          </w:p>
          <w:p w14:paraId="18318715">
            <w:pPr>
              <w:pStyle w:val="183"/>
            </w:pPr>
            <w:r>
              <w:rPr>
                <w:rFonts w:ascii="Times New Roman"/>
                <w:vertAlign w:val="superscript"/>
              </w:rPr>
              <w:t xml:space="preserve">b   </w:t>
            </w:r>
            <w:r>
              <w:rPr>
                <w:rFonts w:ascii="Times New Roman"/>
              </w:rPr>
              <w:t>有空间明亮度要求的教室宜考核眼部垂直照度。</w:t>
            </w:r>
          </w:p>
        </w:tc>
      </w:tr>
    </w:tbl>
    <w:p w14:paraId="77887D68">
      <w:pPr>
        <w:pStyle w:val="115"/>
        <w:numPr>
          <w:ilvl w:val="0"/>
          <w:numId w:val="0"/>
        </w:numPr>
        <w:spacing w:before="120" w:after="120"/>
      </w:pPr>
      <w:bookmarkStart w:id="167" w:name="_Toc310"/>
      <w:bookmarkStart w:id="168" w:name="_Toc16874"/>
      <w:bookmarkStart w:id="169" w:name="_Toc359"/>
      <w:bookmarkStart w:id="170" w:name="_Toc26386"/>
      <w:bookmarkStart w:id="171" w:name="_Toc22599"/>
      <w:bookmarkStart w:id="172" w:name="_Toc31262"/>
      <w:bookmarkStart w:id="173" w:name="_Toc2060"/>
      <w:bookmarkStart w:id="174" w:name="_Toc30173"/>
      <w:bookmarkStart w:id="175" w:name="_Toc3438"/>
      <w:bookmarkStart w:id="176" w:name="_Toc10775"/>
      <w:bookmarkStart w:id="177" w:name="_Toc3976"/>
      <w:bookmarkStart w:id="178" w:name="_Toc1962"/>
      <w:bookmarkStart w:id="179" w:name="_Toc20704"/>
      <w:bookmarkStart w:id="180" w:name="_Toc4825"/>
      <w:bookmarkStart w:id="181" w:name="_Toc22513"/>
      <w:bookmarkStart w:id="182" w:name="_Toc22455"/>
      <w:bookmarkStart w:id="183" w:name="_Toc23639"/>
      <w:r>
        <w:rPr>
          <w:rFonts w:hint="eastAsia" w:hAnsi="黑体"/>
          <w:szCs w:val="22"/>
          <w:lang w:bidi="ar"/>
        </w:rPr>
        <w:t>表2 中小学校教室照明质量和节能要求（续）</w:t>
      </w:r>
    </w:p>
    <w:tbl>
      <w:tblPr>
        <w:tblStyle w:val="28"/>
        <w:tblW w:w="11147" w:type="dxa"/>
        <w:tblInd w:w="-65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147"/>
      </w:tblGrid>
      <w:tr w14:paraId="2775A21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147" w:type="dxa"/>
          </w:tcPr>
          <w:p w14:paraId="79076168">
            <w:pPr>
              <w:pStyle w:val="183"/>
              <w:rPr>
                <w:rFonts w:ascii="Times New Roman"/>
              </w:rPr>
            </w:pPr>
            <w:r>
              <w:rPr>
                <w:rFonts w:ascii="Times New Roman"/>
                <w:vertAlign w:val="superscript"/>
              </w:rPr>
              <w:t xml:space="preserve">c   </w:t>
            </w:r>
            <w:r>
              <w:rPr>
                <w:rFonts w:ascii="Times New Roman"/>
              </w:rPr>
              <w:t>安装LED灯具的教室应考核特殊显色指数</w:t>
            </w:r>
            <w:r>
              <w:rPr>
                <w:rFonts w:ascii="Times New Roman"/>
                <w:i/>
                <w:iCs/>
              </w:rPr>
              <w:t>R</w:t>
            </w:r>
            <w:r>
              <w:rPr>
                <w:rFonts w:ascii="Times New Roman"/>
                <w:position w:val="-2"/>
                <w:vertAlign w:val="subscript"/>
              </w:rPr>
              <w:t>9</w:t>
            </w:r>
            <w:r>
              <w:rPr>
                <w:rFonts w:ascii="Times New Roman"/>
              </w:rPr>
              <w:t>。</w:t>
            </w:r>
          </w:p>
          <w:p w14:paraId="658B19D6">
            <w:pPr>
              <w:pStyle w:val="183"/>
              <w:rPr>
                <w:rFonts w:ascii="Times New Roman"/>
              </w:rPr>
            </w:pPr>
            <w:r>
              <w:rPr>
                <w:rFonts w:ascii="Times New Roman"/>
                <w:vertAlign w:val="superscript"/>
              </w:rPr>
              <w:t xml:space="preserve">d   </w:t>
            </w:r>
            <w:r>
              <w:rPr>
                <w:rFonts w:ascii="Times New Roman"/>
              </w:rPr>
              <w:t>黑板照明为局部照明，黑板灯具功率不计入照明功率密度的计算。</w:t>
            </w:r>
          </w:p>
          <w:p w14:paraId="6BBFC12A">
            <w:pPr>
              <w:pStyle w:val="183"/>
              <w:rPr>
                <w:rFonts w:ascii="Times New Roman"/>
              </w:rPr>
            </w:pPr>
            <w:r>
              <w:rPr>
                <w:rFonts w:ascii="Times New Roman"/>
                <w:vertAlign w:val="superscript"/>
              </w:rPr>
              <w:t xml:space="preserve">e  </w:t>
            </w:r>
            <w:r>
              <w:rPr>
                <w:rFonts w:hint="eastAsia" w:ascii="Times New Roman"/>
                <w:vertAlign w:val="superscript"/>
              </w:rPr>
              <w:t xml:space="preserve"> </w:t>
            </w:r>
            <w:r>
              <w:rPr>
                <w:rFonts w:ascii="Times New Roman"/>
              </w:rPr>
              <w:t>照度均匀度的测试区域，对于黑板为黑板面书写区域，对于教室为课桌区域。</w:t>
            </w:r>
          </w:p>
          <w:p w14:paraId="56CA8D56">
            <w:pPr>
              <w:pStyle w:val="183"/>
              <w:rPr>
                <w:rFonts w:ascii="Times New Roman"/>
              </w:rPr>
            </w:pPr>
            <w:r>
              <w:rPr>
                <w:rFonts w:ascii="Times New Roman"/>
                <w:vertAlign w:val="superscript"/>
              </w:rPr>
              <w:t xml:space="preserve">f   </w:t>
            </w:r>
            <w:r>
              <w:rPr>
                <w:rFonts w:ascii="Times New Roman"/>
              </w:rPr>
              <w:t>黑板的照度为混合照明照度。</w:t>
            </w:r>
          </w:p>
          <w:p w14:paraId="73F3F646">
            <w:pPr>
              <w:pStyle w:val="183"/>
            </w:pPr>
            <w:r>
              <w:rPr>
                <w:rFonts w:ascii="Times New Roman"/>
                <w:vertAlign w:val="superscript"/>
              </w:rPr>
              <w:t xml:space="preserve">g   </w:t>
            </w:r>
            <w:r>
              <w:rPr>
                <w:rFonts w:ascii="Times New Roman"/>
              </w:rPr>
              <w:t>若由于安装投影等原因导致黑板照度均匀度无法达到0.8，则至少应不低于0.7。</w:t>
            </w:r>
          </w:p>
        </w:tc>
      </w:tr>
    </w:tbl>
    <w:p w14:paraId="31C2F408">
      <w:pPr>
        <w:pStyle w:val="107"/>
        <w:spacing w:before="240" w:after="240"/>
      </w:pPr>
      <w:bookmarkStart w:id="184" w:name="_Toc11920"/>
      <w:r>
        <w:rPr>
          <w:rFonts w:hint="eastAsia"/>
        </w:rPr>
        <w:t>安装和维护要求</w:t>
      </w:r>
      <w:bookmarkEnd w:id="184"/>
    </w:p>
    <w:p w14:paraId="23EE877B">
      <w:pPr>
        <w:pStyle w:val="108"/>
        <w:spacing w:before="120" w:after="120"/>
        <w:rPr>
          <w:rFonts w:ascii="Times New Roman" w:eastAsia="宋体"/>
        </w:rPr>
      </w:pPr>
      <w:bookmarkStart w:id="185" w:name="_Toc25309"/>
      <w:r>
        <w:rPr>
          <w:rFonts w:hint="eastAsia" w:ascii="Times New Roman" w:eastAsia="宋体"/>
        </w:rPr>
        <w:t>教室灯具安装应采用其长轴垂直于黑板面布置，黑板灯具安装应采用长轴平行于黑板面布置。</w:t>
      </w:r>
      <w:bookmarkEnd w:id="185"/>
    </w:p>
    <w:p w14:paraId="7C088142">
      <w:pPr>
        <w:pStyle w:val="108"/>
        <w:spacing w:before="120" w:after="120"/>
        <w:rPr>
          <w:rFonts w:ascii="Times New Roman" w:eastAsia="宋体"/>
        </w:rPr>
      </w:pPr>
      <w:bookmarkStart w:id="186" w:name="_Toc12473"/>
      <w:r>
        <w:rPr>
          <w:rFonts w:hint="eastAsia" w:ascii="Times New Roman" w:eastAsia="宋体"/>
        </w:rPr>
        <w:t>教室灯具下沿距课桌面的最低悬挂高度(g)应不低于</w:t>
      </w:r>
      <w:r>
        <w:rPr>
          <w:rFonts w:ascii="Times New Roman" w:eastAsia="宋体"/>
        </w:rPr>
        <w:t>1.7</w:t>
      </w:r>
      <w:r>
        <w:rPr>
          <w:rFonts w:hint="eastAsia" w:ascii="Times New Roman" w:eastAsia="宋体"/>
        </w:rPr>
        <w:t xml:space="preserve"> m，见图1。黑板灯具安装位置应不在教师站姿眼位处产生眩光影响。对于阶梯教室，教室灯具前排灯具应不对后排学生产生直接眩光。</w:t>
      </w:r>
      <w:bookmarkEnd w:id="186"/>
    </w:p>
    <w:p w14:paraId="43299B2E">
      <w:pPr>
        <w:pStyle w:val="108"/>
        <w:spacing w:before="120" w:after="120"/>
        <w:rPr>
          <w:rFonts w:ascii="Times New Roman" w:eastAsia="宋体"/>
        </w:rPr>
      </w:pPr>
      <w:bookmarkStart w:id="187" w:name="_Toc6480"/>
      <w:r>
        <w:rPr>
          <w:rFonts w:hint="eastAsia" w:ascii="Times New Roman" w:eastAsia="宋体"/>
        </w:rPr>
        <w:t>黑板灯具安装要求：</w:t>
      </w:r>
      <w:bookmarkEnd w:id="187"/>
    </w:p>
    <w:p w14:paraId="39CF5711">
      <w:pPr>
        <w:pStyle w:val="177"/>
        <w:numPr>
          <w:ilvl w:val="0"/>
          <w:numId w:val="31"/>
        </w:numPr>
        <w:rPr>
          <w:rFonts w:ascii="Times New Roman"/>
        </w:rPr>
      </w:pPr>
      <w:r>
        <w:rPr>
          <w:rFonts w:ascii="Times New Roman"/>
        </w:rPr>
        <w:t>荧光灯黑板灯具安装应符合GB/T 36876-2018中6.4的要求，d=700 mm～1000 mm，h=100 mm～200 mm，见图1。</w:t>
      </w:r>
    </w:p>
    <w:p w14:paraId="51CD911A">
      <w:pPr>
        <w:pStyle w:val="177"/>
        <w:numPr>
          <w:ilvl w:val="0"/>
          <w:numId w:val="31"/>
        </w:numPr>
        <w:rPr>
          <w:rFonts w:ascii="Times New Roman"/>
        </w:rPr>
      </w:pPr>
      <w:r>
        <w:rPr>
          <w:rFonts w:ascii="Times New Roman"/>
        </w:rPr>
        <w:t>LED黑板灯具安装应符合d≤500 mm，h≥200 mm，见图1。</w:t>
      </w:r>
    </w:p>
    <w:p w14:paraId="1B15F6A7">
      <w:pPr>
        <w:pStyle w:val="177"/>
        <w:numPr>
          <w:ilvl w:val="0"/>
          <w:numId w:val="0"/>
        </w:numPr>
        <w:jc w:val="center"/>
        <w:rPr>
          <w:rFonts w:ascii="Times New Roman"/>
        </w:rPr>
      </w:pPr>
      <w:r>
        <w:drawing>
          <wp:inline distT="0" distB="0" distL="0" distR="0">
            <wp:extent cx="5934075" cy="228600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5934075" cy="2286000"/>
                    </a:xfrm>
                    <a:prstGeom prst="rect">
                      <a:avLst/>
                    </a:prstGeom>
                    <a:noFill/>
                    <a:ln>
                      <a:noFill/>
                    </a:ln>
                  </pic:spPr>
                </pic:pic>
              </a:graphicData>
            </a:graphic>
          </wp:inline>
        </w:drawing>
      </w:r>
    </w:p>
    <w:p w14:paraId="6AEC2645">
      <w:pPr>
        <w:pStyle w:val="168"/>
        <w:numPr>
          <w:ilvl w:val="0"/>
          <w:numId w:val="0"/>
        </w:numPr>
        <w:ind w:firstLine="420" w:firstLineChars="200"/>
        <w:jc w:val="left"/>
        <w:rPr>
          <w:rFonts w:hint="eastAsia" w:hAnsi="宋体" w:cs="宋体"/>
        </w:rPr>
      </w:pPr>
      <w:r>
        <w:rPr>
          <w:rFonts w:hint="eastAsia" w:hAnsi="宋体" w:cs="宋体"/>
        </w:rPr>
        <w:t>说明：</w:t>
      </w:r>
    </w:p>
    <w:p w14:paraId="446A975D">
      <w:pPr>
        <w:pStyle w:val="168"/>
        <w:numPr>
          <w:ilvl w:val="0"/>
          <w:numId w:val="0"/>
        </w:numPr>
        <w:ind w:firstLine="420" w:firstLineChars="200"/>
        <w:jc w:val="left"/>
        <w:rPr>
          <w:rFonts w:hint="eastAsia" w:hAnsi="宋体" w:cs="宋体"/>
        </w:rPr>
      </w:pPr>
      <w:r>
        <w:drawing>
          <wp:anchor distT="0" distB="0" distL="114300" distR="114300" simplePos="0" relativeHeight="251661312" behindDoc="0" locked="0" layoutInCell="1" allowOverlap="1">
            <wp:simplePos x="0" y="0"/>
            <wp:positionH relativeFrom="column">
              <wp:posOffset>208280</wp:posOffset>
            </wp:positionH>
            <wp:positionV relativeFrom="paragraph">
              <wp:posOffset>156845</wp:posOffset>
            </wp:positionV>
            <wp:extent cx="306070" cy="165735"/>
            <wp:effectExtent l="0" t="0" r="17780" b="5715"/>
            <wp:wrapNone/>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pic:cNvPicPr>
                      <a:picLocks noChangeAspect="1"/>
                    </pic:cNvPicPr>
                  </pic:nvPicPr>
                  <pic:blipFill>
                    <a:blip r:embed="rId27"/>
                    <a:stretch>
                      <a:fillRect/>
                    </a:stretch>
                  </pic:blipFill>
                  <pic:spPr>
                    <a:xfrm>
                      <a:off x="0" y="0"/>
                      <a:ext cx="306070" cy="165735"/>
                    </a:xfrm>
                    <a:prstGeom prst="rect">
                      <a:avLst/>
                    </a:prstGeom>
                    <a:noFill/>
                    <a:ln>
                      <a:noFill/>
                    </a:ln>
                  </pic:spPr>
                </pic:pic>
              </a:graphicData>
            </a:graphic>
          </wp:anchor>
        </w:drawing>
      </w:r>
    </w:p>
    <w:p w14:paraId="6A5144E2">
      <w:pPr>
        <w:pStyle w:val="168"/>
        <w:numPr>
          <w:ilvl w:val="0"/>
          <w:numId w:val="0"/>
        </w:numPr>
        <w:ind w:left="420" w:firstLine="420" w:firstLineChars="200"/>
        <w:jc w:val="left"/>
        <w:rPr>
          <w:rFonts w:hint="eastAsia" w:hAnsi="宋体" w:cs="宋体"/>
        </w:rPr>
      </w:pPr>
      <w:r>
        <w:rPr>
          <w:rFonts w:hint="eastAsia" w:hAnsi="宋体" w:cs="宋体"/>
        </w:rPr>
        <w:t>——教室灯具；</w:t>
      </w:r>
    </w:p>
    <w:p w14:paraId="34436BC0">
      <w:pPr>
        <w:pStyle w:val="168"/>
        <w:numPr>
          <w:ilvl w:val="0"/>
          <w:numId w:val="0"/>
        </w:numPr>
        <w:ind w:left="420"/>
        <w:jc w:val="left"/>
        <w:rPr>
          <w:rFonts w:hint="eastAsia" w:hAnsi="宋体" w:cs="宋体"/>
        </w:rPr>
      </w:pPr>
      <w:r>
        <w:drawing>
          <wp:anchor distT="0" distB="0" distL="114300" distR="114300" simplePos="0" relativeHeight="251662336" behindDoc="0" locked="0" layoutInCell="1" allowOverlap="1">
            <wp:simplePos x="0" y="0"/>
            <wp:positionH relativeFrom="column">
              <wp:posOffset>202565</wp:posOffset>
            </wp:positionH>
            <wp:positionV relativeFrom="paragraph">
              <wp:posOffset>22225</wp:posOffset>
            </wp:positionV>
            <wp:extent cx="271780" cy="297815"/>
            <wp:effectExtent l="0" t="0" r="13970" b="6985"/>
            <wp:wrapNone/>
            <wp:docPr id="1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7"/>
                    <pic:cNvPicPr>
                      <a:picLocks noChangeAspect="1"/>
                    </pic:cNvPicPr>
                  </pic:nvPicPr>
                  <pic:blipFill>
                    <a:blip r:embed="rId28"/>
                    <a:stretch>
                      <a:fillRect/>
                    </a:stretch>
                  </pic:blipFill>
                  <pic:spPr>
                    <a:xfrm>
                      <a:off x="0" y="0"/>
                      <a:ext cx="271780" cy="297815"/>
                    </a:xfrm>
                    <a:prstGeom prst="rect">
                      <a:avLst/>
                    </a:prstGeom>
                    <a:noFill/>
                    <a:ln>
                      <a:noFill/>
                    </a:ln>
                  </pic:spPr>
                </pic:pic>
              </a:graphicData>
            </a:graphic>
          </wp:anchor>
        </w:drawing>
      </w:r>
    </w:p>
    <w:p w14:paraId="553E9B82">
      <w:pPr>
        <w:pStyle w:val="168"/>
        <w:numPr>
          <w:ilvl w:val="0"/>
          <w:numId w:val="0"/>
        </w:numPr>
        <w:ind w:left="420" w:firstLine="420" w:firstLineChars="200"/>
        <w:jc w:val="left"/>
        <w:rPr>
          <w:rFonts w:hint="eastAsia" w:hAnsi="宋体" w:cs="宋体"/>
          <w:iCs/>
        </w:rPr>
      </w:pPr>
      <w:r>
        <w:rPr>
          <w:rFonts w:hint="eastAsia" w:hAnsi="宋体" w:cs="宋体"/>
        </w:rPr>
        <w:t>——黑板灯具；</w:t>
      </w:r>
    </w:p>
    <w:p w14:paraId="43E93B1F">
      <w:pPr>
        <w:pStyle w:val="168"/>
        <w:numPr>
          <w:ilvl w:val="0"/>
          <w:numId w:val="0"/>
        </w:numPr>
        <w:ind w:left="420"/>
        <w:jc w:val="left"/>
        <w:rPr>
          <w:rFonts w:ascii="Times New Roman"/>
        </w:rPr>
      </w:pPr>
      <w:r>
        <w:rPr>
          <w:rFonts w:ascii="Times New Roman"/>
          <w:iCs/>
        </w:rPr>
        <w:t>d</w:t>
      </w:r>
      <w:r>
        <w:rPr>
          <w:rFonts w:ascii="Times New Roman"/>
        </w:rPr>
        <w:t>——黑板灯具距黑板平行距离；</w:t>
      </w:r>
    </w:p>
    <w:p w14:paraId="084E2CFF">
      <w:pPr>
        <w:pStyle w:val="168"/>
        <w:numPr>
          <w:ilvl w:val="0"/>
          <w:numId w:val="0"/>
        </w:numPr>
        <w:ind w:left="420"/>
        <w:jc w:val="left"/>
        <w:rPr>
          <w:rFonts w:ascii="Times New Roman"/>
        </w:rPr>
      </w:pPr>
      <w:r>
        <w:rPr>
          <w:rFonts w:ascii="Times New Roman"/>
          <w:iCs/>
        </w:rPr>
        <w:t>h</w:t>
      </w:r>
      <w:r>
        <w:rPr>
          <w:rFonts w:ascii="Times New Roman"/>
        </w:rPr>
        <w:t>——黑板灯具距黑板上缘垂直距离；</w:t>
      </w:r>
    </w:p>
    <w:p w14:paraId="7ADC5A54">
      <w:pPr>
        <w:pStyle w:val="168"/>
        <w:numPr>
          <w:ilvl w:val="0"/>
          <w:numId w:val="0"/>
        </w:numPr>
        <w:ind w:left="420"/>
        <w:jc w:val="left"/>
        <w:rPr>
          <w:rFonts w:ascii="Times New Roman"/>
        </w:rPr>
      </w:pPr>
      <w:r>
        <w:rPr>
          <w:rFonts w:ascii="Times New Roman"/>
          <w:iCs/>
        </w:rPr>
        <w:t>g</w:t>
      </w:r>
      <w:r>
        <w:rPr>
          <w:rFonts w:ascii="Times New Roman"/>
        </w:rPr>
        <w:t>——教室灯具距课桌垂直距离。</w:t>
      </w:r>
    </w:p>
    <w:p w14:paraId="4BD2A6B8">
      <w:pPr>
        <w:pStyle w:val="117"/>
        <w:spacing w:before="120" w:after="120"/>
      </w:pPr>
      <w:r>
        <w:rPr>
          <w:rFonts w:hint="eastAsia"/>
        </w:rPr>
        <w:t>教室灯具和黑板灯具安装侧视图</w:t>
      </w:r>
    </w:p>
    <w:p w14:paraId="3EF777D3">
      <w:pPr>
        <w:pStyle w:val="108"/>
        <w:spacing w:before="120" w:after="120"/>
        <w:rPr>
          <w:rFonts w:ascii="Times New Roman" w:eastAsia="宋体"/>
        </w:rPr>
      </w:pPr>
      <w:bookmarkStart w:id="188" w:name="_Toc29115"/>
      <w:r>
        <w:rPr>
          <w:rFonts w:hint="eastAsia" w:ascii="Times New Roman" w:eastAsia="宋体"/>
        </w:rPr>
        <w:t>非嵌入式教室灯具应使用刚性吊杆安装，吊杆应与灯面垂直，不得倾斜。</w:t>
      </w:r>
      <w:bookmarkEnd w:id="188"/>
    </w:p>
    <w:p w14:paraId="3CA22798">
      <w:pPr>
        <w:pStyle w:val="108"/>
        <w:spacing w:before="120" w:after="120"/>
        <w:rPr>
          <w:rFonts w:ascii="Times New Roman" w:eastAsia="宋体"/>
        </w:rPr>
      </w:pPr>
      <w:bookmarkStart w:id="189" w:name="_Toc22486"/>
      <w:r>
        <w:rPr>
          <w:rFonts w:hint="eastAsia" w:ascii="Times New Roman" w:eastAsia="宋体"/>
        </w:rPr>
        <w:t>教室灯具横（纵）向中心轴线宜在同一直线上。</w:t>
      </w:r>
      <w:bookmarkEnd w:id="189"/>
    </w:p>
    <w:p w14:paraId="6651C595">
      <w:pPr>
        <w:pStyle w:val="108"/>
        <w:spacing w:before="120" w:after="120"/>
        <w:rPr>
          <w:rFonts w:ascii="Times New Roman" w:eastAsia="宋体"/>
        </w:rPr>
      </w:pPr>
      <w:bookmarkStart w:id="190" w:name="_Toc9629"/>
      <w:r>
        <w:rPr>
          <w:rFonts w:hint="eastAsia" w:ascii="Times New Roman" w:eastAsia="宋体"/>
        </w:rPr>
        <w:t>教室灯具第一横排的每个灯具宜由单独回路控制，其余每一纵列灯具宜由单独回路控制。每个黑板照明灯具应单独回路控制。</w:t>
      </w:r>
      <w:bookmarkEnd w:id="190"/>
    </w:p>
    <w:p w14:paraId="16B9FC6B">
      <w:pPr>
        <w:pStyle w:val="108"/>
        <w:spacing w:before="120" w:after="120"/>
        <w:rPr>
          <w:rFonts w:ascii="Times New Roman" w:eastAsia="宋体"/>
        </w:rPr>
      </w:pPr>
      <w:bookmarkStart w:id="191" w:name="_Toc4468"/>
      <w:r>
        <w:rPr>
          <w:rFonts w:hint="eastAsia" w:ascii="Times New Roman" w:eastAsia="宋体"/>
        </w:rPr>
        <w:t>教室宜设遮光窗帘以防止直接眩光，黑板区域书写面宜以耐磨无光泽的材料制成以防止反射眩光。</w:t>
      </w:r>
      <w:bookmarkEnd w:id="191"/>
    </w:p>
    <w:p w14:paraId="557BDB51">
      <w:pPr>
        <w:pStyle w:val="108"/>
        <w:spacing w:before="120" w:after="120"/>
        <w:rPr>
          <w:rFonts w:ascii="Times New Roman" w:eastAsia="宋体"/>
        </w:rPr>
      </w:pPr>
      <w:bookmarkStart w:id="192" w:name="_Toc3611"/>
      <w:r>
        <w:rPr>
          <w:rFonts w:hint="eastAsia" w:ascii="Times New Roman" w:eastAsia="宋体"/>
        </w:rPr>
        <w:t>灯具安装时，要注意避免对其他设备（如：监控摄像机、投影机、顶装空调）的遮挡。设有吊扇的教室，灯具下方出光面应低于吊扇叶片。</w:t>
      </w:r>
      <w:bookmarkEnd w:id="192"/>
    </w:p>
    <w:p w14:paraId="279E802C">
      <w:pPr>
        <w:pStyle w:val="108"/>
        <w:spacing w:before="120" w:after="120"/>
        <w:rPr>
          <w:rFonts w:ascii="Times New Roman" w:eastAsia="宋体"/>
        </w:rPr>
      </w:pPr>
      <w:bookmarkStart w:id="193" w:name="_Toc22675"/>
      <w:r>
        <w:rPr>
          <w:rFonts w:hint="eastAsia" w:ascii="Times New Roman" w:eastAsia="宋体"/>
        </w:rPr>
        <w:t>教室灯具工程安装要求：</w:t>
      </w:r>
      <w:bookmarkEnd w:id="193"/>
    </w:p>
    <w:p w14:paraId="5D049FC0">
      <w:pPr>
        <w:pStyle w:val="177"/>
        <w:numPr>
          <w:ilvl w:val="0"/>
          <w:numId w:val="32"/>
        </w:numPr>
        <w:rPr>
          <w:rFonts w:ascii="Times New Roman"/>
        </w:rPr>
      </w:pPr>
      <w:r>
        <w:rPr>
          <w:rFonts w:ascii="Times New Roman"/>
        </w:rPr>
        <w:t>吊杆安装的灯具应采用不小于Φ6 mm膨胀螺栓固定，预埋件承受力应不低于灯具重量的10倍。</w:t>
      </w:r>
    </w:p>
    <w:p w14:paraId="130CFF06">
      <w:pPr>
        <w:pStyle w:val="177"/>
        <w:numPr>
          <w:ilvl w:val="0"/>
          <w:numId w:val="32"/>
        </w:numPr>
        <w:rPr>
          <w:rFonts w:ascii="Times New Roman"/>
        </w:rPr>
      </w:pPr>
      <w:r>
        <w:rPr>
          <w:rFonts w:ascii="Times New Roman"/>
        </w:rPr>
        <w:t>灯具及其附件应安装齐全，并无损伤、变形、涂层剥落和灯罩破裂等缺陷。</w:t>
      </w:r>
    </w:p>
    <w:p w14:paraId="07C5CE71">
      <w:pPr>
        <w:pStyle w:val="177"/>
        <w:numPr>
          <w:ilvl w:val="0"/>
          <w:numId w:val="32"/>
        </w:numPr>
        <w:rPr>
          <w:rFonts w:ascii="Times New Roman"/>
        </w:rPr>
      </w:pPr>
      <w:r>
        <w:rPr>
          <w:rFonts w:ascii="Times New Roman"/>
        </w:rPr>
        <w:t>开关面板及接线盒盒体安装完整、无破损变形，零件齐全。</w:t>
      </w:r>
    </w:p>
    <w:p w14:paraId="56D55EF3">
      <w:pPr>
        <w:pStyle w:val="177"/>
        <w:numPr>
          <w:ilvl w:val="0"/>
          <w:numId w:val="32"/>
        </w:numPr>
        <w:rPr>
          <w:rFonts w:ascii="Times New Roman"/>
        </w:rPr>
      </w:pPr>
      <w:r>
        <w:rPr>
          <w:rFonts w:ascii="Times New Roman"/>
        </w:rPr>
        <w:t>灯具接线安全牢固、接触良好。</w:t>
      </w:r>
    </w:p>
    <w:p w14:paraId="0B7F6B0D">
      <w:pPr>
        <w:pStyle w:val="177"/>
        <w:numPr>
          <w:ilvl w:val="0"/>
          <w:numId w:val="32"/>
        </w:numPr>
        <w:rPr>
          <w:rFonts w:ascii="Times New Roman"/>
        </w:rPr>
      </w:pPr>
      <w:r>
        <w:rPr>
          <w:rFonts w:ascii="Times New Roman"/>
        </w:rPr>
        <w:t>墙面明线安装中导管管径大小和接线盒孔径应相匹配，导管和接线盒应连接紧密。</w:t>
      </w:r>
    </w:p>
    <w:p w14:paraId="7522C086">
      <w:pPr>
        <w:pStyle w:val="108"/>
        <w:spacing w:before="120" w:after="120"/>
        <w:rPr>
          <w:rFonts w:ascii="Times New Roman" w:eastAsia="宋体"/>
        </w:rPr>
      </w:pPr>
      <w:bookmarkStart w:id="194" w:name="_Toc29971"/>
      <w:r>
        <w:rPr>
          <w:rFonts w:ascii="Times New Roman" w:eastAsia="宋体"/>
        </w:rPr>
        <w:t>灯具初次安装或更换后，每学期应至少清洁灯具表面一次；宜每2年委托第三方检测机构进行教室照明质量检测一次，保证教室照明质量满足表2的要求，否则应更换灯具。灯具光源使用1000 h后测试的平均照度不需要乘以维护系数。</w:t>
      </w:r>
      <w:bookmarkEnd w:id="194"/>
    </w:p>
    <w:p w14:paraId="01276CA3">
      <w:pPr>
        <w:pStyle w:val="107"/>
        <w:spacing w:before="240" w:after="240"/>
      </w:pPr>
      <w:bookmarkStart w:id="195" w:name="_Toc13388"/>
      <w:bookmarkStart w:id="196" w:name="_Toc83215963"/>
      <w:bookmarkStart w:id="197" w:name="_Toc29820"/>
      <w:r>
        <w:rPr>
          <w:rFonts w:hint="eastAsia"/>
        </w:rPr>
        <w:t>验收规则</w:t>
      </w:r>
      <w:bookmarkEnd w:id="195"/>
      <w:bookmarkEnd w:id="196"/>
      <w:bookmarkEnd w:id="197"/>
    </w:p>
    <w:p w14:paraId="750705F0">
      <w:pPr>
        <w:pStyle w:val="108"/>
        <w:spacing w:before="120" w:after="120"/>
      </w:pPr>
      <w:bookmarkStart w:id="198" w:name="_Toc17962"/>
      <w:bookmarkStart w:id="199" w:name="_Toc24354"/>
      <w:r>
        <w:rPr>
          <w:rFonts w:hint="eastAsia"/>
        </w:rPr>
        <w:t>教室照明设计和验收流程</w:t>
      </w:r>
      <w:bookmarkEnd w:id="198"/>
      <w:bookmarkEnd w:id="199"/>
    </w:p>
    <w:p w14:paraId="584D55A9">
      <w:pPr>
        <w:pStyle w:val="226"/>
        <w:numPr>
          <w:ilvl w:val="0"/>
          <w:numId w:val="0"/>
        </w:numPr>
        <w:ind w:firstLine="420" w:firstLineChars="200"/>
        <w:rPr>
          <w:rFonts w:ascii="Times New Roman"/>
          <w:lang w:eastAsia="zh-Hans"/>
        </w:rPr>
      </w:pPr>
      <w:r>
        <w:rPr>
          <w:rFonts w:hint="eastAsia" w:ascii="Times New Roman"/>
          <w:lang w:eastAsia="zh-Hans"/>
        </w:rPr>
        <w:t>见图2。</w:t>
      </w:r>
    </w:p>
    <w:p w14:paraId="22B2BABA">
      <w:pPr>
        <w:pStyle w:val="108"/>
        <w:spacing w:before="120" w:after="120"/>
      </w:pPr>
      <w:bookmarkStart w:id="200" w:name="_Toc31564"/>
      <w:bookmarkStart w:id="201" w:name="_Toc28938"/>
      <w:r>
        <w:rPr>
          <w:rFonts w:hint="eastAsia"/>
        </w:rPr>
        <w:t>现场检测项目和检测机构要求</w:t>
      </w:r>
      <w:bookmarkEnd w:id="200"/>
      <w:bookmarkEnd w:id="201"/>
    </w:p>
    <w:p w14:paraId="5728C0EC">
      <w:pPr>
        <w:pStyle w:val="68"/>
        <w:spacing w:before="120" w:after="120"/>
        <w:rPr>
          <w:rFonts w:ascii="Times New Roman" w:eastAsia="宋体"/>
        </w:rPr>
      </w:pPr>
      <w:r>
        <w:rPr>
          <w:rFonts w:hint="eastAsia" w:ascii="Times New Roman" w:eastAsia="宋体"/>
        </w:rPr>
        <w:t>学校宜在拟进行照明改造的教室中选取其中1间教室进行样板间施工改造，改造后由有资质的第三方检测机构按表3的检测指标进行样板间教室照明现场检测，检测合格后方能对其它教室进行改造。全部改造完成后按现场检测抽样原则随机抽取教室进行教室照明现场检测，如果检测不合格应重新整改并再次检测，按现场检测抽样原则随机抽取的教室检测合格后方能进行验收。新建、扩建、改建的教室照明也按照以上要求进行验收。</w:t>
      </w:r>
    </w:p>
    <w:p w14:paraId="416C03A0">
      <w:pPr>
        <w:pStyle w:val="68"/>
        <w:spacing w:before="120" w:after="120"/>
        <w:rPr>
          <w:rFonts w:ascii="Times New Roman" w:eastAsia="宋体"/>
        </w:rPr>
      </w:pPr>
      <w:r>
        <w:rPr>
          <w:rFonts w:hint="eastAsia" w:ascii="Times New Roman" w:eastAsia="宋体"/>
        </w:rPr>
        <w:t>现场检测内容、检测指标及检测方法见表3，检测指标应符合表2以及7.2、7.3的要求。</w:t>
      </w:r>
    </w:p>
    <w:p w14:paraId="62252B9D">
      <w:pPr>
        <w:pStyle w:val="115"/>
        <w:spacing w:before="120" w:after="120"/>
        <w:rPr>
          <w:rFonts w:hint="eastAsia" w:hAnsi="黑体"/>
          <w:szCs w:val="22"/>
          <w:lang w:bidi="ar"/>
        </w:rPr>
      </w:pPr>
      <w:r>
        <w:rPr>
          <w:rFonts w:hint="eastAsia" w:hAnsi="黑体"/>
          <w:szCs w:val="22"/>
          <w:lang w:bidi="ar"/>
        </w:rPr>
        <w:t>样板间与改造后教室照明现场检测项目</w:t>
      </w:r>
    </w:p>
    <w:tbl>
      <w:tblPr>
        <w:tblStyle w:val="28"/>
        <w:tblW w:w="9571"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392"/>
        <w:gridCol w:w="2252"/>
        <w:gridCol w:w="2534"/>
        <w:gridCol w:w="2393"/>
      </w:tblGrid>
      <w:tr w14:paraId="2FA8A29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392" w:type="dxa"/>
            <w:tcBorders>
              <w:top w:val="single" w:color="auto" w:sz="12" w:space="0"/>
              <w:bottom w:val="single" w:color="auto" w:sz="12" w:space="0"/>
            </w:tcBorders>
            <w:vAlign w:val="center"/>
          </w:tcPr>
          <w:p w14:paraId="7F9E9C21">
            <w:pPr>
              <w:pStyle w:val="236"/>
              <w:widowControl w:val="0"/>
              <w:ind w:firstLine="0" w:firstLineChars="0"/>
              <w:jc w:val="center"/>
              <w:rPr>
                <w:rFonts w:ascii="Times New Roman" w:hAnsi="Times New Roman"/>
                <w:sz w:val="18"/>
                <w:szCs w:val="18"/>
              </w:rPr>
            </w:pPr>
            <w:r>
              <w:rPr>
                <w:rFonts w:ascii="Times New Roman" w:hAnsi="Times New Roman"/>
                <w:sz w:val="18"/>
                <w:szCs w:val="18"/>
              </w:rPr>
              <w:t>检测内容</w:t>
            </w:r>
          </w:p>
        </w:tc>
        <w:tc>
          <w:tcPr>
            <w:tcW w:w="4786" w:type="dxa"/>
            <w:gridSpan w:val="2"/>
            <w:tcBorders>
              <w:top w:val="single" w:color="auto" w:sz="12" w:space="0"/>
              <w:bottom w:val="single" w:color="auto" w:sz="12" w:space="0"/>
            </w:tcBorders>
            <w:vAlign w:val="center"/>
          </w:tcPr>
          <w:p w14:paraId="779CA0C2">
            <w:pPr>
              <w:pStyle w:val="236"/>
              <w:widowControl w:val="0"/>
              <w:ind w:firstLine="0" w:firstLineChars="0"/>
              <w:jc w:val="center"/>
              <w:rPr>
                <w:rFonts w:ascii="Times New Roman" w:hAnsi="Times New Roman"/>
                <w:sz w:val="18"/>
                <w:szCs w:val="18"/>
              </w:rPr>
            </w:pPr>
            <w:r>
              <w:rPr>
                <w:rFonts w:ascii="Times New Roman" w:hAnsi="Times New Roman"/>
                <w:sz w:val="18"/>
                <w:szCs w:val="18"/>
              </w:rPr>
              <w:t>检测指标</w:t>
            </w:r>
          </w:p>
        </w:tc>
        <w:tc>
          <w:tcPr>
            <w:tcW w:w="2393" w:type="dxa"/>
            <w:tcBorders>
              <w:top w:val="single" w:color="auto" w:sz="12" w:space="0"/>
              <w:bottom w:val="single" w:color="auto" w:sz="12" w:space="0"/>
            </w:tcBorders>
            <w:vAlign w:val="center"/>
          </w:tcPr>
          <w:p w14:paraId="19333071">
            <w:pPr>
              <w:pStyle w:val="236"/>
              <w:widowControl w:val="0"/>
              <w:ind w:firstLine="0" w:firstLineChars="0"/>
              <w:jc w:val="center"/>
              <w:rPr>
                <w:rFonts w:ascii="Times New Roman" w:hAnsi="Times New Roman"/>
                <w:sz w:val="18"/>
                <w:szCs w:val="18"/>
              </w:rPr>
            </w:pPr>
            <w:r>
              <w:rPr>
                <w:rFonts w:ascii="Times New Roman" w:hAnsi="Times New Roman"/>
                <w:sz w:val="18"/>
                <w:szCs w:val="18"/>
              </w:rPr>
              <w:t>检测方法</w:t>
            </w:r>
          </w:p>
        </w:tc>
      </w:tr>
      <w:tr w14:paraId="0EB5971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392" w:type="dxa"/>
            <w:vMerge w:val="restart"/>
            <w:vAlign w:val="center"/>
          </w:tcPr>
          <w:p w14:paraId="738E8DEA">
            <w:pPr>
              <w:pStyle w:val="236"/>
              <w:widowControl w:val="0"/>
              <w:ind w:firstLine="0" w:firstLineChars="0"/>
              <w:jc w:val="center"/>
              <w:rPr>
                <w:rFonts w:ascii="Times New Roman" w:hAnsi="Times New Roman" w:eastAsia="黑体"/>
              </w:rPr>
            </w:pPr>
            <w:r>
              <w:rPr>
                <w:rFonts w:ascii="Times New Roman" w:hAnsi="Times New Roman"/>
                <w:sz w:val="18"/>
                <w:szCs w:val="18"/>
              </w:rPr>
              <w:t>样板间与改造后</w:t>
            </w:r>
            <w:r>
              <w:rPr>
                <w:rFonts w:ascii="Times New Roman" w:hAnsi="Times New Roman"/>
                <w:spacing w:val="-111"/>
                <w:sz w:val="18"/>
                <w:szCs w:val="18"/>
              </w:rPr>
              <w:t xml:space="preserve"> </w:t>
            </w:r>
            <w:r>
              <w:rPr>
                <w:rFonts w:ascii="Times New Roman" w:hAnsi="Times New Roman"/>
                <w:sz w:val="18"/>
                <w:szCs w:val="18"/>
              </w:rPr>
              <w:t>教室照明现场检测项目</w:t>
            </w:r>
          </w:p>
        </w:tc>
        <w:tc>
          <w:tcPr>
            <w:tcW w:w="2252" w:type="dxa"/>
            <w:vMerge w:val="restart"/>
            <w:vAlign w:val="center"/>
          </w:tcPr>
          <w:p w14:paraId="4DF32AB3">
            <w:pPr>
              <w:pStyle w:val="236"/>
              <w:widowControl w:val="0"/>
              <w:ind w:firstLine="0" w:firstLineChars="0"/>
              <w:jc w:val="center"/>
              <w:rPr>
                <w:rFonts w:ascii="Times New Roman" w:hAnsi="Times New Roman"/>
                <w:sz w:val="18"/>
                <w:szCs w:val="18"/>
              </w:rPr>
            </w:pPr>
            <w:r>
              <w:rPr>
                <w:rFonts w:ascii="Times New Roman" w:hAnsi="Times New Roman"/>
                <w:sz w:val="18"/>
                <w:szCs w:val="18"/>
              </w:rPr>
              <w:t>课桌面照度</w:t>
            </w:r>
          </w:p>
        </w:tc>
        <w:tc>
          <w:tcPr>
            <w:tcW w:w="2534" w:type="dxa"/>
            <w:vAlign w:val="center"/>
          </w:tcPr>
          <w:p w14:paraId="069842D7">
            <w:pPr>
              <w:pStyle w:val="236"/>
              <w:widowControl w:val="0"/>
              <w:ind w:firstLine="0" w:firstLineChars="0"/>
              <w:jc w:val="center"/>
              <w:rPr>
                <w:rFonts w:ascii="Times New Roman" w:hAnsi="Times New Roman" w:eastAsia="黑体"/>
                <w:sz w:val="18"/>
                <w:szCs w:val="18"/>
              </w:rPr>
            </w:pPr>
            <w:r>
              <w:rPr>
                <w:rFonts w:ascii="Times New Roman" w:hAnsi="Times New Roman"/>
                <w:sz w:val="18"/>
                <w:szCs w:val="18"/>
              </w:rPr>
              <w:t>维持平均照度</w:t>
            </w:r>
          </w:p>
        </w:tc>
        <w:tc>
          <w:tcPr>
            <w:tcW w:w="2393" w:type="dxa"/>
            <w:vMerge w:val="restart"/>
            <w:vAlign w:val="center"/>
          </w:tcPr>
          <w:p w14:paraId="52B39C75">
            <w:pPr>
              <w:pStyle w:val="236"/>
              <w:widowControl w:val="0"/>
              <w:ind w:firstLine="0" w:firstLineChars="0"/>
              <w:jc w:val="center"/>
              <w:rPr>
                <w:rFonts w:ascii="Times New Roman" w:hAnsi="Times New Roman" w:eastAsia="黑体"/>
              </w:rPr>
            </w:pPr>
            <w:r>
              <w:rPr>
                <w:rFonts w:ascii="Times New Roman" w:hAnsi="Times New Roman"/>
                <w:sz w:val="18"/>
                <w:szCs w:val="18"/>
              </w:rPr>
              <w:t>有资质的第三方检测机构进行现场检测，现场检测要求见8.4</w:t>
            </w:r>
          </w:p>
        </w:tc>
      </w:tr>
      <w:tr w14:paraId="7AB1E69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392" w:type="dxa"/>
            <w:vMerge w:val="continue"/>
            <w:vAlign w:val="center"/>
          </w:tcPr>
          <w:p w14:paraId="0CFF3FC0">
            <w:pPr>
              <w:pStyle w:val="236"/>
              <w:widowControl w:val="0"/>
              <w:ind w:firstLine="0" w:firstLineChars="0"/>
              <w:jc w:val="center"/>
              <w:rPr>
                <w:rFonts w:ascii="Times New Roman" w:hAnsi="Times New Roman" w:eastAsia="黑体"/>
              </w:rPr>
            </w:pPr>
          </w:p>
        </w:tc>
        <w:tc>
          <w:tcPr>
            <w:tcW w:w="2252" w:type="dxa"/>
            <w:vMerge w:val="continue"/>
            <w:vAlign w:val="center"/>
          </w:tcPr>
          <w:p w14:paraId="267B7F4C">
            <w:pPr>
              <w:pStyle w:val="236"/>
              <w:widowControl w:val="0"/>
              <w:ind w:firstLine="0" w:firstLineChars="0"/>
              <w:jc w:val="center"/>
              <w:rPr>
                <w:rFonts w:ascii="Times New Roman" w:hAnsi="Times New Roman"/>
                <w:sz w:val="18"/>
                <w:szCs w:val="18"/>
              </w:rPr>
            </w:pPr>
          </w:p>
        </w:tc>
        <w:tc>
          <w:tcPr>
            <w:tcW w:w="2534" w:type="dxa"/>
            <w:vAlign w:val="center"/>
          </w:tcPr>
          <w:p w14:paraId="73318B95">
            <w:pPr>
              <w:pStyle w:val="236"/>
              <w:widowControl w:val="0"/>
              <w:ind w:firstLine="0" w:firstLineChars="0"/>
              <w:jc w:val="center"/>
              <w:rPr>
                <w:rFonts w:ascii="Times New Roman" w:hAnsi="Times New Roman" w:eastAsia="黑体"/>
                <w:sz w:val="18"/>
                <w:szCs w:val="18"/>
              </w:rPr>
            </w:pPr>
            <w:r>
              <w:rPr>
                <w:rFonts w:ascii="Times New Roman" w:hAnsi="Times New Roman"/>
                <w:sz w:val="18"/>
                <w:szCs w:val="18"/>
              </w:rPr>
              <w:t>照度均匀度</w:t>
            </w:r>
          </w:p>
        </w:tc>
        <w:tc>
          <w:tcPr>
            <w:tcW w:w="2393" w:type="dxa"/>
            <w:vMerge w:val="continue"/>
            <w:vAlign w:val="center"/>
          </w:tcPr>
          <w:p w14:paraId="08A8F912">
            <w:pPr>
              <w:pStyle w:val="236"/>
              <w:widowControl w:val="0"/>
              <w:ind w:firstLine="0" w:firstLineChars="0"/>
              <w:jc w:val="center"/>
              <w:rPr>
                <w:rFonts w:ascii="Times New Roman" w:hAnsi="Times New Roman" w:eastAsia="黑体"/>
              </w:rPr>
            </w:pPr>
          </w:p>
        </w:tc>
      </w:tr>
      <w:tr w14:paraId="58069D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392" w:type="dxa"/>
            <w:vMerge w:val="continue"/>
            <w:vAlign w:val="center"/>
          </w:tcPr>
          <w:p w14:paraId="6D4CA4AC">
            <w:pPr>
              <w:pStyle w:val="236"/>
              <w:widowControl w:val="0"/>
              <w:ind w:firstLine="0" w:firstLineChars="0"/>
              <w:jc w:val="center"/>
              <w:rPr>
                <w:rFonts w:ascii="Times New Roman" w:hAnsi="Times New Roman" w:eastAsia="黑体"/>
              </w:rPr>
            </w:pPr>
          </w:p>
        </w:tc>
        <w:tc>
          <w:tcPr>
            <w:tcW w:w="2252" w:type="dxa"/>
            <w:vMerge w:val="restart"/>
            <w:vAlign w:val="center"/>
          </w:tcPr>
          <w:p w14:paraId="746A86A6">
            <w:pPr>
              <w:pStyle w:val="236"/>
              <w:widowControl w:val="0"/>
              <w:ind w:firstLine="0" w:firstLineChars="0"/>
              <w:jc w:val="center"/>
              <w:rPr>
                <w:rFonts w:ascii="Times New Roman" w:hAnsi="Times New Roman"/>
                <w:sz w:val="18"/>
                <w:szCs w:val="18"/>
              </w:rPr>
            </w:pPr>
            <w:r>
              <w:rPr>
                <w:rFonts w:ascii="Times New Roman" w:hAnsi="Times New Roman"/>
                <w:sz w:val="18"/>
                <w:szCs w:val="18"/>
              </w:rPr>
              <w:t>黑板面照度</w:t>
            </w:r>
          </w:p>
        </w:tc>
        <w:tc>
          <w:tcPr>
            <w:tcW w:w="2534" w:type="dxa"/>
            <w:vAlign w:val="center"/>
          </w:tcPr>
          <w:p w14:paraId="18EFE7DE">
            <w:pPr>
              <w:pStyle w:val="236"/>
              <w:widowControl w:val="0"/>
              <w:ind w:firstLine="0" w:firstLineChars="0"/>
              <w:jc w:val="center"/>
              <w:rPr>
                <w:rFonts w:ascii="Times New Roman" w:hAnsi="Times New Roman" w:eastAsia="黑体"/>
                <w:sz w:val="18"/>
                <w:szCs w:val="18"/>
              </w:rPr>
            </w:pPr>
            <w:r>
              <w:rPr>
                <w:rFonts w:ascii="Times New Roman" w:hAnsi="Times New Roman"/>
                <w:sz w:val="18"/>
                <w:szCs w:val="18"/>
              </w:rPr>
              <w:t>维持平均照度</w:t>
            </w:r>
          </w:p>
        </w:tc>
        <w:tc>
          <w:tcPr>
            <w:tcW w:w="2393" w:type="dxa"/>
            <w:vMerge w:val="continue"/>
            <w:vAlign w:val="center"/>
          </w:tcPr>
          <w:p w14:paraId="524BB591">
            <w:pPr>
              <w:pStyle w:val="236"/>
              <w:widowControl w:val="0"/>
              <w:ind w:firstLine="0" w:firstLineChars="0"/>
              <w:jc w:val="center"/>
              <w:rPr>
                <w:rFonts w:ascii="Times New Roman" w:hAnsi="Times New Roman" w:eastAsia="黑体"/>
              </w:rPr>
            </w:pPr>
          </w:p>
        </w:tc>
      </w:tr>
      <w:tr w14:paraId="19F4EA9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392" w:type="dxa"/>
            <w:vMerge w:val="continue"/>
            <w:vAlign w:val="center"/>
          </w:tcPr>
          <w:p w14:paraId="795158C6">
            <w:pPr>
              <w:pStyle w:val="236"/>
              <w:widowControl w:val="0"/>
              <w:ind w:firstLine="0" w:firstLineChars="0"/>
              <w:jc w:val="center"/>
              <w:rPr>
                <w:rFonts w:ascii="Times New Roman" w:hAnsi="Times New Roman" w:eastAsia="黑体"/>
              </w:rPr>
            </w:pPr>
          </w:p>
        </w:tc>
        <w:tc>
          <w:tcPr>
            <w:tcW w:w="2252" w:type="dxa"/>
            <w:vMerge w:val="continue"/>
            <w:vAlign w:val="center"/>
          </w:tcPr>
          <w:p w14:paraId="06DFC56F">
            <w:pPr>
              <w:pStyle w:val="236"/>
              <w:widowControl w:val="0"/>
              <w:ind w:firstLine="0" w:firstLineChars="0"/>
              <w:jc w:val="center"/>
              <w:rPr>
                <w:rFonts w:ascii="Times New Roman" w:hAnsi="Times New Roman"/>
                <w:sz w:val="18"/>
                <w:szCs w:val="18"/>
              </w:rPr>
            </w:pPr>
          </w:p>
        </w:tc>
        <w:tc>
          <w:tcPr>
            <w:tcW w:w="2534" w:type="dxa"/>
            <w:vAlign w:val="center"/>
          </w:tcPr>
          <w:p w14:paraId="45C1F694">
            <w:pPr>
              <w:pStyle w:val="236"/>
              <w:widowControl w:val="0"/>
              <w:ind w:firstLine="0" w:firstLineChars="0"/>
              <w:jc w:val="center"/>
              <w:rPr>
                <w:rFonts w:ascii="Times New Roman" w:hAnsi="Times New Roman" w:eastAsia="黑体"/>
                <w:sz w:val="18"/>
                <w:szCs w:val="18"/>
              </w:rPr>
            </w:pPr>
            <w:r>
              <w:rPr>
                <w:rFonts w:ascii="Times New Roman" w:hAnsi="Times New Roman"/>
                <w:sz w:val="18"/>
                <w:szCs w:val="18"/>
              </w:rPr>
              <w:t>照度均匀度</w:t>
            </w:r>
          </w:p>
        </w:tc>
        <w:tc>
          <w:tcPr>
            <w:tcW w:w="2393" w:type="dxa"/>
            <w:vMerge w:val="continue"/>
            <w:vAlign w:val="center"/>
          </w:tcPr>
          <w:p w14:paraId="7046219B">
            <w:pPr>
              <w:pStyle w:val="236"/>
              <w:widowControl w:val="0"/>
              <w:ind w:firstLine="0" w:firstLineChars="0"/>
              <w:jc w:val="center"/>
              <w:rPr>
                <w:rFonts w:ascii="Times New Roman" w:hAnsi="Times New Roman" w:eastAsia="黑体"/>
              </w:rPr>
            </w:pPr>
          </w:p>
        </w:tc>
      </w:tr>
      <w:tr w14:paraId="6961F16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392" w:type="dxa"/>
            <w:vMerge w:val="continue"/>
            <w:vAlign w:val="center"/>
          </w:tcPr>
          <w:p w14:paraId="5247FBE7">
            <w:pPr>
              <w:pStyle w:val="236"/>
              <w:widowControl w:val="0"/>
              <w:ind w:firstLine="0" w:firstLineChars="0"/>
              <w:jc w:val="center"/>
              <w:rPr>
                <w:rFonts w:ascii="Times New Roman" w:hAnsi="Times New Roman" w:eastAsia="黑体"/>
              </w:rPr>
            </w:pPr>
          </w:p>
        </w:tc>
        <w:tc>
          <w:tcPr>
            <w:tcW w:w="2252" w:type="dxa"/>
            <w:vAlign w:val="center"/>
          </w:tcPr>
          <w:p w14:paraId="35019530">
            <w:pPr>
              <w:pStyle w:val="236"/>
              <w:widowControl w:val="0"/>
              <w:ind w:firstLine="0" w:firstLineChars="0"/>
              <w:jc w:val="center"/>
              <w:rPr>
                <w:rFonts w:ascii="Times New Roman" w:hAnsi="Times New Roman"/>
                <w:sz w:val="18"/>
                <w:szCs w:val="18"/>
              </w:rPr>
            </w:pPr>
            <w:r>
              <w:rPr>
                <w:rFonts w:ascii="Times New Roman" w:hAnsi="Times New Roman"/>
                <w:sz w:val="18"/>
                <w:szCs w:val="18"/>
              </w:rPr>
              <w:t>功率密度</w:t>
            </w:r>
          </w:p>
        </w:tc>
        <w:tc>
          <w:tcPr>
            <w:tcW w:w="2534" w:type="dxa"/>
            <w:vAlign w:val="center"/>
          </w:tcPr>
          <w:p w14:paraId="55111600">
            <w:pPr>
              <w:pStyle w:val="236"/>
              <w:widowControl w:val="0"/>
              <w:ind w:firstLine="0" w:firstLineChars="0"/>
              <w:jc w:val="center"/>
              <w:rPr>
                <w:rFonts w:ascii="Times New Roman" w:hAnsi="Times New Roman" w:eastAsia="黑体"/>
                <w:sz w:val="18"/>
                <w:szCs w:val="18"/>
              </w:rPr>
            </w:pPr>
            <w:r>
              <w:rPr>
                <w:rFonts w:ascii="Times New Roman" w:hAnsi="Times New Roman"/>
                <w:spacing w:val="11"/>
                <w:sz w:val="18"/>
                <w:szCs w:val="18"/>
              </w:rPr>
              <w:t>现场教室灯具实测总</w:t>
            </w:r>
            <w:r>
              <w:rPr>
                <w:rFonts w:ascii="Times New Roman" w:hAnsi="Times New Roman"/>
                <w:spacing w:val="-113"/>
                <w:sz w:val="18"/>
                <w:szCs w:val="18"/>
              </w:rPr>
              <w:t xml:space="preserve"> </w:t>
            </w:r>
            <w:r>
              <w:rPr>
                <w:rFonts w:ascii="Times New Roman" w:hAnsi="Times New Roman"/>
                <w:sz w:val="18"/>
                <w:szCs w:val="18"/>
              </w:rPr>
              <w:t>输入功率与教室面积之比</w:t>
            </w:r>
          </w:p>
        </w:tc>
        <w:tc>
          <w:tcPr>
            <w:tcW w:w="2393" w:type="dxa"/>
            <w:vMerge w:val="continue"/>
            <w:vAlign w:val="center"/>
          </w:tcPr>
          <w:p w14:paraId="5F60A534">
            <w:pPr>
              <w:pStyle w:val="236"/>
              <w:widowControl w:val="0"/>
              <w:ind w:firstLine="0" w:firstLineChars="0"/>
              <w:jc w:val="center"/>
              <w:rPr>
                <w:rFonts w:ascii="Times New Roman" w:hAnsi="Times New Roman" w:eastAsia="黑体"/>
              </w:rPr>
            </w:pPr>
          </w:p>
        </w:tc>
      </w:tr>
      <w:tr w14:paraId="583F2D9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392" w:type="dxa"/>
            <w:vMerge w:val="continue"/>
            <w:vAlign w:val="center"/>
          </w:tcPr>
          <w:p w14:paraId="45DDABFB">
            <w:pPr>
              <w:pStyle w:val="236"/>
              <w:widowControl w:val="0"/>
              <w:ind w:firstLine="0" w:firstLineChars="0"/>
              <w:jc w:val="center"/>
              <w:rPr>
                <w:rFonts w:ascii="Times New Roman" w:hAnsi="Times New Roman" w:eastAsia="黑体"/>
              </w:rPr>
            </w:pPr>
          </w:p>
        </w:tc>
        <w:tc>
          <w:tcPr>
            <w:tcW w:w="2252" w:type="dxa"/>
            <w:vAlign w:val="center"/>
          </w:tcPr>
          <w:p w14:paraId="4F68D73C">
            <w:pPr>
              <w:pStyle w:val="236"/>
              <w:widowControl w:val="0"/>
              <w:ind w:firstLine="0" w:firstLineChars="0"/>
              <w:jc w:val="center"/>
              <w:rPr>
                <w:rFonts w:ascii="Times New Roman" w:hAnsi="Times New Roman"/>
                <w:sz w:val="18"/>
                <w:szCs w:val="18"/>
              </w:rPr>
            </w:pPr>
            <w:r>
              <w:rPr>
                <w:rFonts w:ascii="Times New Roman" w:hAnsi="Times New Roman"/>
                <w:sz w:val="18"/>
                <w:szCs w:val="18"/>
              </w:rPr>
              <w:t>统一眩光值</w:t>
            </w:r>
          </w:p>
        </w:tc>
        <w:tc>
          <w:tcPr>
            <w:tcW w:w="2534" w:type="dxa"/>
            <w:vAlign w:val="center"/>
          </w:tcPr>
          <w:p w14:paraId="4D553160">
            <w:pPr>
              <w:pStyle w:val="236"/>
              <w:widowControl w:val="0"/>
              <w:ind w:firstLine="0" w:firstLineChars="0"/>
              <w:jc w:val="center"/>
              <w:rPr>
                <w:rFonts w:ascii="Times New Roman" w:hAnsi="Times New Roman" w:eastAsia="黑体"/>
                <w:sz w:val="18"/>
                <w:szCs w:val="18"/>
              </w:rPr>
            </w:pPr>
            <w:r>
              <w:rPr>
                <w:rFonts w:ascii="Times New Roman" w:hAnsi="Times New Roman"/>
                <w:sz w:val="18"/>
                <w:szCs w:val="18"/>
              </w:rPr>
              <w:t>教室现场统一眩光值</w:t>
            </w:r>
          </w:p>
        </w:tc>
        <w:tc>
          <w:tcPr>
            <w:tcW w:w="2393" w:type="dxa"/>
            <w:vMerge w:val="continue"/>
            <w:vAlign w:val="center"/>
          </w:tcPr>
          <w:p w14:paraId="26721599">
            <w:pPr>
              <w:pStyle w:val="236"/>
              <w:widowControl w:val="0"/>
              <w:ind w:firstLine="0" w:firstLineChars="0"/>
              <w:jc w:val="center"/>
              <w:rPr>
                <w:rFonts w:ascii="Times New Roman" w:hAnsi="Times New Roman" w:eastAsia="黑体"/>
              </w:rPr>
            </w:pPr>
          </w:p>
        </w:tc>
      </w:tr>
      <w:tr w14:paraId="5AACF56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392" w:type="dxa"/>
            <w:vMerge w:val="continue"/>
            <w:vAlign w:val="center"/>
          </w:tcPr>
          <w:p w14:paraId="0DCC2AA4">
            <w:pPr>
              <w:pStyle w:val="236"/>
              <w:widowControl w:val="0"/>
              <w:ind w:firstLine="0" w:firstLineChars="0"/>
              <w:jc w:val="center"/>
              <w:rPr>
                <w:rFonts w:ascii="Times New Roman" w:hAnsi="Times New Roman" w:eastAsia="黑体"/>
              </w:rPr>
            </w:pPr>
          </w:p>
        </w:tc>
        <w:tc>
          <w:tcPr>
            <w:tcW w:w="2252" w:type="dxa"/>
            <w:vAlign w:val="center"/>
          </w:tcPr>
          <w:p w14:paraId="32E477A3">
            <w:pPr>
              <w:pStyle w:val="236"/>
              <w:widowControl w:val="0"/>
              <w:ind w:firstLine="0" w:firstLineChars="0"/>
              <w:jc w:val="center"/>
              <w:rPr>
                <w:rFonts w:ascii="Times New Roman" w:hAnsi="Times New Roman"/>
                <w:sz w:val="18"/>
                <w:szCs w:val="18"/>
              </w:rPr>
            </w:pPr>
            <w:r>
              <w:rPr>
                <w:rFonts w:ascii="Times New Roman" w:hAnsi="Times New Roman"/>
                <w:sz w:val="18"/>
                <w:szCs w:val="18"/>
              </w:rPr>
              <w:t>相关色温</w:t>
            </w:r>
          </w:p>
        </w:tc>
        <w:tc>
          <w:tcPr>
            <w:tcW w:w="2534" w:type="dxa"/>
            <w:vAlign w:val="center"/>
          </w:tcPr>
          <w:p w14:paraId="5418ABC1">
            <w:pPr>
              <w:pStyle w:val="236"/>
              <w:widowControl w:val="0"/>
              <w:ind w:firstLine="0" w:firstLineChars="0"/>
              <w:jc w:val="center"/>
              <w:rPr>
                <w:rFonts w:ascii="Times New Roman" w:hAnsi="Times New Roman" w:eastAsia="黑体"/>
                <w:sz w:val="18"/>
                <w:szCs w:val="18"/>
              </w:rPr>
            </w:pPr>
            <w:r>
              <w:rPr>
                <w:rFonts w:ascii="Times New Roman" w:hAnsi="Times New Roman"/>
                <w:sz w:val="18"/>
                <w:szCs w:val="18"/>
              </w:rPr>
              <w:t>课桌面相关色温</w:t>
            </w:r>
          </w:p>
        </w:tc>
        <w:tc>
          <w:tcPr>
            <w:tcW w:w="2393" w:type="dxa"/>
            <w:vMerge w:val="continue"/>
            <w:vAlign w:val="center"/>
          </w:tcPr>
          <w:p w14:paraId="5754ECDD">
            <w:pPr>
              <w:pStyle w:val="236"/>
              <w:widowControl w:val="0"/>
              <w:ind w:firstLine="0" w:firstLineChars="0"/>
              <w:jc w:val="center"/>
              <w:rPr>
                <w:rFonts w:ascii="Times New Roman" w:hAnsi="Times New Roman" w:eastAsia="黑体"/>
              </w:rPr>
            </w:pPr>
          </w:p>
        </w:tc>
      </w:tr>
      <w:tr w14:paraId="73413C6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392" w:type="dxa"/>
            <w:vMerge w:val="continue"/>
            <w:vAlign w:val="center"/>
          </w:tcPr>
          <w:p w14:paraId="53614833">
            <w:pPr>
              <w:pStyle w:val="236"/>
              <w:widowControl w:val="0"/>
              <w:ind w:firstLine="0" w:firstLineChars="0"/>
              <w:jc w:val="center"/>
              <w:rPr>
                <w:rFonts w:ascii="Times New Roman" w:hAnsi="Times New Roman" w:eastAsia="黑体"/>
              </w:rPr>
            </w:pPr>
          </w:p>
        </w:tc>
        <w:tc>
          <w:tcPr>
            <w:tcW w:w="2252" w:type="dxa"/>
            <w:vAlign w:val="center"/>
          </w:tcPr>
          <w:p w14:paraId="2A0F5521">
            <w:pPr>
              <w:pStyle w:val="236"/>
              <w:widowControl w:val="0"/>
              <w:ind w:firstLine="0" w:firstLineChars="0"/>
              <w:jc w:val="center"/>
              <w:rPr>
                <w:rFonts w:ascii="Times New Roman" w:hAnsi="Times New Roman"/>
                <w:sz w:val="18"/>
                <w:szCs w:val="18"/>
              </w:rPr>
            </w:pPr>
            <w:r>
              <w:rPr>
                <w:rFonts w:ascii="Times New Roman" w:hAnsi="Times New Roman"/>
                <w:sz w:val="18"/>
                <w:szCs w:val="18"/>
              </w:rPr>
              <w:t>显色指数</w:t>
            </w:r>
          </w:p>
        </w:tc>
        <w:tc>
          <w:tcPr>
            <w:tcW w:w="2534" w:type="dxa"/>
            <w:vAlign w:val="center"/>
          </w:tcPr>
          <w:p w14:paraId="3986D3EC">
            <w:pPr>
              <w:pStyle w:val="236"/>
              <w:widowControl w:val="0"/>
              <w:ind w:firstLine="0" w:firstLineChars="0"/>
              <w:jc w:val="center"/>
              <w:rPr>
                <w:rFonts w:ascii="Times New Roman" w:hAnsi="Times New Roman" w:eastAsia="黑体"/>
                <w:sz w:val="18"/>
                <w:szCs w:val="18"/>
              </w:rPr>
            </w:pPr>
            <w:r>
              <w:rPr>
                <w:rFonts w:ascii="Times New Roman" w:hAnsi="Times New Roman"/>
                <w:sz w:val="18"/>
                <w:szCs w:val="18"/>
              </w:rPr>
              <w:t>课桌面一般显色指数、LED灯具特殊显色指数（</w:t>
            </w:r>
            <w:r>
              <w:rPr>
                <w:rFonts w:ascii="Times New Roman" w:hAnsi="Times New Roman"/>
                <w:i/>
                <w:iCs/>
                <w:sz w:val="18"/>
                <w:szCs w:val="18"/>
              </w:rPr>
              <w:t>R</w:t>
            </w:r>
            <w:r>
              <w:rPr>
                <w:rFonts w:ascii="Times New Roman" w:hAnsi="Times New Roman"/>
                <w:position w:val="-3"/>
                <w:sz w:val="18"/>
                <w:szCs w:val="18"/>
                <w:vertAlign w:val="subscript"/>
              </w:rPr>
              <w:t>9</w:t>
            </w:r>
            <w:r>
              <w:rPr>
                <w:rFonts w:ascii="Times New Roman" w:hAnsi="Times New Roman"/>
                <w:sz w:val="18"/>
                <w:szCs w:val="18"/>
              </w:rPr>
              <w:t>）</w:t>
            </w:r>
          </w:p>
        </w:tc>
        <w:tc>
          <w:tcPr>
            <w:tcW w:w="2393" w:type="dxa"/>
            <w:vMerge w:val="continue"/>
            <w:vAlign w:val="center"/>
          </w:tcPr>
          <w:p w14:paraId="750C6E86">
            <w:pPr>
              <w:pStyle w:val="236"/>
              <w:widowControl w:val="0"/>
              <w:ind w:firstLine="0" w:firstLineChars="0"/>
              <w:jc w:val="center"/>
              <w:rPr>
                <w:rFonts w:ascii="Times New Roman" w:hAnsi="Times New Roman" w:eastAsia="黑体"/>
              </w:rPr>
            </w:pPr>
          </w:p>
        </w:tc>
      </w:tr>
      <w:tr w14:paraId="570FBAE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392" w:type="dxa"/>
            <w:vMerge w:val="continue"/>
            <w:vAlign w:val="center"/>
          </w:tcPr>
          <w:p w14:paraId="51114114">
            <w:pPr>
              <w:pStyle w:val="236"/>
              <w:widowControl w:val="0"/>
              <w:ind w:firstLine="0" w:firstLineChars="0"/>
              <w:jc w:val="center"/>
              <w:rPr>
                <w:rFonts w:ascii="Times New Roman" w:hAnsi="Times New Roman" w:eastAsia="黑体"/>
              </w:rPr>
            </w:pPr>
          </w:p>
        </w:tc>
        <w:tc>
          <w:tcPr>
            <w:tcW w:w="2252" w:type="dxa"/>
            <w:vAlign w:val="center"/>
          </w:tcPr>
          <w:p w14:paraId="2FCCE97B">
            <w:pPr>
              <w:pStyle w:val="236"/>
              <w:widowControl w:val="0"/>
              <w:ind w:firstLine="0" w:firstLineChars="0"/>
              <w:jc w:val="center"/>
              <w:rPr>
                <w:rFonts w:ascii="Times New Roman" w:hAnsi="Times New Roman"/>
                <w:sz w:val="18"/>
                <w:szCs w:val="18"/>
              </w:rPr>
            </w:pPr>
            <w:r>
              <w:rPr>
                <w:rFonts w:ascii="Times New Roman" w:hAnsi="Times New Roman"/>
                <w:sz w:val="18"/>
                <w:szCs w:val="18"/>
              </w:rPr>
              <w:t>教室灯具高度</w:t>
            </w:r>
          </w:p>
        </w:tc>
        <w:tc>
          <w:tcPr>
            <w:tcW w:w="2534" w:type="dxa"/>
            <w:vAlign w:val="center"/>
          </w:tcPr>
          <w:p w14:paraId="7F84F4AB">
            <w:pPr>
              <w:pStyle w:val="236"/>
              <w:widowControl w:val="0"/>
              <w:ind w:firstLine="0" w:firstLineChars="0"/>
              <w:jc w:val="center"/>
              <w:rPr>
                <w:rFonts w:ascii="Times New Roman" w:hAnsi="Times New Roman"/>
                <w:sz w:val="18"/>
                <w:szCs w:val="18"/>
              </w:rPr>
            </w:pPr>
            <w:r>
              <w:rPr>
                <w:rFonts w:ascii="Times New Roman" w:hAnsi="Times New Roman"/>
                <w:sz w:val="18"/>
                <w:szCs w:val="18"/>
              </w:rPr>
              <w:t>教室灯具下沿距课桌面垂直距离</w:t>
            </w:r>
          </w:p>
        </w:tc>
        <w:tc>
          <w:tcPr>
            <w:tcW w:w="2393" w:type="dxa"/>
            <w:vMerge w:val="continue"/>
            <w:vAlign w:val="center"/>
          </w:tcPr>
          <w:p w14:paraId="20EEED8E">
            <w:pPr>
              <w:pStyle w:val="236"/>
              <w:widowControl w:val="0"/>
              <w:ind w:firstLine="0" w:firstLineChars="0"/>
              <w:jc w:val="center"/>
              <w:rPr>
                <w:rFonts w:ascii="Times New Roman" w:hAnsi="Times New Roman" w:eastAsia="黑体"/>
              </w:rPr>
            </w:pPr>
          </w:p>
        </w:tc>
      </w:tr>
      <w:tr w14:paraId="3677597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392" w:type="dxa"/>
            <w:vMerge w:val="continue"/>
            <w:vAlign w:val="center"/>
          </w:tcPr>
          <w:p w14:paraId="313834BB">
            <w:pPr>
              <w:pStyle w:val="236"/>
              <w:widowControl w:val="0"/>
              <w:ind w:firstLine="0" w:firstLineChars="0"/>
              <w:jc w:val="center"/>
              <w:rPr>
                <w:rFonts w:ascii="Times New Roman" w:hAnsi="Times New Roman" w:eastAsia="黑体"/>
              </w:rPr>
            </w:pPr>
          </w:p>
        </w:tc>
        <w:tc>
          <w:tcPr>
            <w:tcW w:w="2252" w:type="dxa"/>
            <w:vAlign w:val="center"/>
          </w:tcPr>
          <w:p w14:paraId="368D953E">
            <w:pPr>
              <w:pStyle w:val="236"/>
              <w:widowControl w:val="0"/>
              <w:ind w:firstLine="0" w:firstLineChars="0"/>
              <w:jc w:val="center"/>
              <w:rPr>
                <w:rFonts w:ascii="Times New Roman" w:hAnsi="Times New Roman"/>
                <w:sz w:val="18"/>
                <w:szCs w:val="18"/>
              </w:rPr>
            </w:pPr>
            <w:r>
              <w:rPr>
                <w:rFonts w:ascii="Times New Roman" w:hAnsi="Times New Roman"/>
                <w:sz w:val="18"/>
                <w:szCs w:val="18"/>
              </w:rPr>
              <w:t>黑板灯具高度和距离</w:t>
            </w:r>
          </w:p>
        </w:tc>
        <w:tc>
          <w:tcPr>
            <w:tcW w:w="2534" w:type="dxa"/>
            <w:vAlign w:val="center"/>
          </w:tcPr>
          <w:p w14:paraId="0DFD98C3">
            <w:pPr>
              <w:pStyle w:val="236"/>
              <w:widowControl w:val="0"/>
              <w:ind w:firstLine="0" w:firstLineChars="0"/>
              <w:jc w:val="center"/>
              <w:rPr>
                <w:rFonts w:ascii="Times New Roman" w:hAnsi="Times New Roman"/>
                <w:sz w:val="18"/>
                <w:szCs w:val="18"/>
              </w:rPr>
            </w:pPr>
            <w:r>
              <w:rPr>
                <w:rFonts w:ascii="Times New Roman" w:hAnsi="Times New Roman"/>
                <w:sz w:val="18"/>
                <w:szCs w:val="18"/>
              </w:rPr>
              <w:t>黑板灯具下沿距黑板上缘垂直距离，黑板灯具距黑板的水平距离</w:t>
            </w:r>
          </w:p>
        </w:tc>
        <w:tc>
          <w:tcPr>
            <w:tcW w:w="2393" w:type="dxa"/>
            <w:vMerge w:val="continue"/>
            <w:vAlign w:val="center"/>
          </w:tcPr>
          <w:p w14:paraId="2A4B88F1">
            <w:pPr>
              <w:pStyle w:val="236"/>
              <w:widowControl w:val="0"/>
              <w:ind w:firstLine="0" w:firstLineChars="0"/>
              <w:jc w:val="center"/>
              <w:rPr>
                <w:rFonts w:ascii="Times New Roman" w:hAnsi="Times New Roman" w:eastAsia="黑体"/>
              </w:rPr>
            </w:pPr>
          </w:p>
        </w:tc>
      </w:tr>
      <w:tr w14:paraId="61ED68E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392" w:type="dxa"/>
            <w:vMerge w:val="continue"/>
            <w:vAlign w:val="center"/>
          </w:tcPr>
          <w:p w14:paraId="6C19E0FC">
            <w:pPr>
              <w:pStyle w:val="236"/>
              <w:widowControl w:val="0"/>
              <w:ind w:firstLine="0" w:firstLineChars="0"/>
              <w:jc w:val="center"/>
              <w:rPr>
                <w:rFonts w:ascii="Times New Roman" w:hAnsi="Times New Roman" w:eastAsia="黑体"/>
              </w:rPr>
            </w:pPr>
          </w:p>
        </w:tc>
        <w:tc>
          <w:tcPr>
            <w:tcW w:w="2252" w:type="dxa"/>
            <w:vAlign w:val="center"/>
          </w:tcPr>
          <w:p w14:paraId="566D0781">
            <w:pPr>
              <w:pStyle w:val="236"/>
              <w:widowControl w:val="0"/>
              <w:ind w:firstLine="0" w:firstLineChars="0"/>
              <w:jc w:val="center"/>
              <w:rPr>
                <w:rFonts w:ascii="Times New Roman" w:hAnsi="Times New Roman"/>
                <w:sz w:val="18"/>
                <w:szCs w:val="18"/>
              </w:rPr>
            </w:pPr>
            <w:r>
              <w:rPr>
                <w:rFonts w:ascii="Times New Roman" w:hAnsi="Times New Roman"/>
                <w:sz w:val="18"/>
                <w:szCs w:val="18"/>
              </w:rPr>
              <w:t>波动深度</w:t>
            </w:r>
          </w:p>
        </w:tc>
        <w:tc>
          <w:tcPr>
            <w:tcW w:w="2534" w:type="dxa"/>
            <w:vAlign w:val="center"/>
          </w:tcPr>
          <w:p w14:paraId="767EDD45">
            <w:pPr>
              <w:pStyle w:val="236"/>
              <w:widowControl w:val="0"/>
              <w:ind w:firstLine="0" w:firstLineChars="0"/>
              <w:jc w:val="center"/>
              <w:rPr>
                <w:rFonts w:ascii="Times New Roman" w:hAnsi="Times New Roman" w:eastAsia="黑体"/>
                <w:sz w:val="18"/>
                <w:szCs w:val="18"/>
              </w:rPr>
            </w:pPr>
            <w:r>
              <w:rPr>
                <w:rFonts w:ascii="Times New Roman" w:hAnsi="Times New Roman"/>
                <w:sz w:val="18"/>
                <w:szCs w:val="18"/>
              </w:rPr>
              <w:t>教室灯具和黑板灯具的波形频率，波动深度</w:t>
            </w:r>
          </w:p>
        </w:tc>
        <w:tc>
          <w:tcPr>
            <w:tcW w:w="2393" w:type="dxa"/>
            <w:vMerge w:val="continue"/>
            <w:vAlign w:val="center"/>
          </w:tcPr>
          <w:p w14:paraId="5595463F">
            <w:pPr>
              <w:pStyle w:val="236"/>
              <w:widowControl w:val="0"/>
              <w:ind w:firstLine="0" w:firstLineChars="0"/>
              <w:jc w:val="center"/>
              <w:rPr>
                <w:rFonts w:ascii="Times New Roman" w:hAnsi="Times New Roman" w:eastAsia="黑体"/>
              </w:rPr>
            </w:pPr>
          </w:p>
        </w:tc>
      </w:tr>
    </w:tbl>
    <w:p w14:paraId="20B37998">
      <w:pPr>
        <w:pStyle w:val="177"/>
        <w:numPr>
          <w:ilvl w:val="0"/>
          <w:numId w:val="0"/>
        </w:numPr>
        <w:jc w:val="center"/>
        <w:rPr>
          <w:rFonts w:ascii="Times New Roman"/>
        </w:rPr>
      </w:pPr>
      <w:r>
        <w:drawing>
          <wp:inline distT="0" distB="0" distL="114300" distR="114300">
            <wp:extent cx="2057400" cy="7685405"/>
            <wp:effectExtent l="0" t="0" r="0" b="0"/>
            <wp:docPr id="2" name="图片 6" descr="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 descr="wps"/>
                    <pic:cNvPicPr>
                      <a:picLocks noChangeAspect="1"/>
                    </pic:cNvPicPr>
                  </pic:nvPicPr>
                  <pic:blipFill>
                    <a:blip r:embed="rId29"/>
                    <a:srcRect l="11451"/>
                    <a:stretch>
                      <a:fillRect/>
                    </a:stretch>
                  </pic:blipFill>
                  <pic:spPr>
                    <a:xfrm>
                      <a:off x="0" y="0"/>
                      <a:ext cx="2057400" cy="7685405"/>
                    </a:xfrm>
                    <a:prstGeom prst="rect">
                      <a:avLst/>
                    </a:prstGeom>
                    <a:noFill/>
                    <a:ln>
                      <a:noFill/>
                    </a:ln>
                  </pic:spPr>
                </pic:pic>
              </a:graphicData>
            </a:graphic>
          </wp:inline>
        </w:drawing>
      </w:r>
    </w:p>
    <w:p w14:paraId="2E497257">
      <w:pPr>
        <w:pStyle w:val="117"/>
        <w:spacing w:before="120" w:after="120"/>
      </w:pPr>
      <w:r>
        <w:rPr>
          <w:rFonts w:hint="eastAsia"/>
        </w:rPr>
        <w:t>教室照明设计和验收流程图</w:t>
      </w:r>
    </w:p>
    <w:p w14:paraId="177F5269">
      <w:pPr>
        <w:pStyle w:val="68"/>
        <w:spacing w:before="120" w:after="120"/>
        <w:rPr>
          <w:rFonts w:ascii="Times New Roman" w:eastAsia="宋体"/>
        </w:rPr>
      </w:pPr>
      <w:r>
        <w:rPr>
          <w:rFonts w:hint="eastAsia" w:ascii="Times New Roman" w:eastAsia="宋体"/>
        </w:rPr>
        <w:t>第三方检测机构应为具有独立法人资格的企事业单位，应获得中国合格评定国家认可委员会(CNAS)认可或国际认可互认体系的其他认可资格，且证书应在有效期内，证书相关标准应覆盖表3的检测指标和附录B、附录C的现场测试方法。</w:t>
      </w:r>
    </w:p>
    <w:p w14:paraId="26477C51">
      <w:pPr>
        <w:pStyle w:val="108"/>
        <w:spacing w:before="120" w:after="120"/>
      </w:pPr>
      <w:bookmarkStart w:id="202" w:name="_Toc24648"/>
      <w:bookmarkStart w:id="203" w:name="_Toc24847"/>
      <w:r>
        <w:rPr>
          <w:rFonts w:hint="eastAsia"/>
        </w:rPr>
        <w:t>现场检测抽样原则</w:t>
      </w:r>
      <w:bookmarkEnd w:id="202"/>
      <w:bookmarkEnd w:id="203"/>
    </w:p>
    <w:p w14:paraId="51C6F4D9">
      <w:pPr>
        <w:pStyle w:val="226"/>
        <w:numPr>
          <w:ilvl w:val="0"/>
          <w:numId w:val="0"/>
        </w:numPr>
        <w:ind w:firstLine="420" w:firstLineChars="200"/>
        <w:rPr>
          <w:rFonts w:ascii="Times New Roman"/>
        </w:rPr>
      </w:pPr>
      <w:r>
        <w:rPr>
          <w:rFonts w:hint="eastAsia" w:ascii="Times New Roman"/>
          <w:lang w:eastAsia="zh-Hans"/>
        </w:rPr>
        <w:t>全部教室的灯具安装后根据计数抽样原则，按照每所学校改造后教室数量、教室平面布局不同、教室功能类型等特点，在每所学校随机选取不低于5%有代表性的各类教室进行现场检测，同时应保证每种类型的教室至少一间</w:t>
      </w:r>
      <w:r>
        <w:rPr>
          <w:rFonts w:hint="eastAsia" w:ascii="Times New Roman"/>
        </w:rPr>
        <w:t>；安装完成后</w:t>
      </w:r>
      <w:r>
        <w:rPr>
          <w:rFonts w:hint="eastAsia" w:ascii="Times New Roman"/>
          <w:lang w:eastAsia="zh-Hans"/>
        </w:rPr>
        <w:t>每2年检测</w:t>
      </w:r>
      <w:r>
        <w:rPr>
          <w:rFonts w:hint="eastAsia" w:ascii="Times New Roman"/>
        </w:rPr>
        <w:t>的教室数量应</w:t>
      </w:r>
      <w:r>
        <w:rPr>
          <w:rFonts w:hint="eastAsia" w:ascii="Times New Roman"/>
          <w:lang w:eastAsia="zh-Hans"/>
        </w:rPr>
        <w:t>不低于</w:t>
      </w:r>
      <w:r>
        <w:rPr>
          <w:rFonts w:hint="eastAsia" w:ascii="Times New Roman"/>
        </w:rPr>
        <w:t>3</w:t>
      </w:r>
      <w:r>
        <w:rPr>
          <w:rFonts w:hint="eastAsia" w:ascii="Times New Roman"/>
          <w:lang w:eastAsia="zh-Hans"/>
        </w:rPr>
        <w:t>%</w:t>
      </w:r>
      <w:r>
        <w:rPr>
          <w:rFonts w:hint="eastAsia" w:ascii="Times New Roman"/>
        </w:rPr>
        <w:t>。</w:t>
      </w:r>
    </w:p>
    <w:p w14:paraId="3F9F410D">
      <w:pPr>
        <w:pStyle w:val="108"/>
        <w:spacing w:before="120" w:after="120"/>
      </w:pPr>
      <w:bookmarkStart w:id="204" w:name="_Toc21821"/>
      <w:bookmarkStart w:id="205" w:name="_Toc20255"/>
      <w:r>
        <w:rPr>
          <w:rFonts w:hint="eastAsia"/>
        </w:rPr>
        <w:t>现场检测</w:t>
      </w:r>
      <w:bookmarkEnd w:id="204"/>
      <w:r>
        <w:rPr>
          <w:rFonts w:hint="eastAsia"/>
        </w:rPr>
        <w:t>要求</w:t>
      </w:r>
      <w:bookmarkEnd w:id="205"/>
    </w:p>
    <w:p w14:paraId="3A4C91E5">
      <w:pPr>
        <w:pStyle w:val="68"/>
        <w:spacing w:before="120" w:after="120"/>
      </w:pPr>
      <w:r>
        <w:rPr>
          <w:rFonts w:hint="eastAsia"/>
        </w:rPr>
        <w:t>测试条件</w:t>
      </w:r>
    </w:p>
    <w:p w14:paraId="043C92E5">
      <w:pPr>
        <w:pStyle w:val="97"/>
        <w:spacing w:before="120" w:after="120"/>
        <w:rPr>
          <w:rFonts w:ascii="Times New Roman" w:eastAsia="宋体"/>
        </w:rPr>
      </w:pPr>
      <w:r>
        <w:rPr>
          <w:rFonts w:ascii="Times New Roman" w:eastAsia="宋体"/>
        </w:rPr>
        <w:t>教室照明现场测试应在没有自然光和其他非被测光源影响下进行。</w:t>
      </w:r>
    </w:p>
    <w:p w14:paraId="047AA9A4">
      <w:pPr>
        <w:pStyle w:val="97"/>
        <w:spacing w:before="120" w:after="120"/>
        <w:rPr>
          <w:rFonts w:ascii="Times New Roman" w:eastAsia="宋体"/>
        </w:rPr>
      </w:pPr>
      <w:r>
        <w:rPr>
          <w:rFonts w:ascii="Times New Roman" w:eastAsia="宋体"/>
        </w:rPr>
        <w:t>现场测试应排除杂散光射入光接收探头，并应防止各类人员和物体对光接收探头造成遮挡。</w:t>
      </w:r>
    </w:p>
    <w:p w14:paraId="170A661F">
      <w:pPr>
        <w:pStyle w:val="97"/>
        <w:spacing w:before="120" w:after="120"/>
        <w:rPr>
          <w:rFonts w:ascii="Times New Roman" w:eastAsia="宋体"/>
        </w:rPr>
      </w:pPr>
      <w:r>
        <w:rPr>
          <w:rFonts w:ascii="Times New Roman" w:eastAsia="宋体"/>
        </w:rPr>
        <w:t>在现场进行照明测试前，荧光灯灯具的光源累计燃点时间宜在100 h以上。</w:t>
      </w:r>
    </w:p>
    <w:p w14:paraId="1CDA95C9">
      <w:pPr>
        <w:pStyle w:val="97"/>
        <w:spacing w:before="120" w:after="120"/>
        <w:rPr>
          <w:rFonts w:ascii="Times New Roman" w:eastAsia="宋体"/>
        </w:rPr>
      </w:pPr>
      <w:r>
        <w:rPr>
          <w:rFonts w:ascii="Times New Roman" w:eastAsia="宋体"/>
        </w:rPr>
        <w:t>在现场进行照明测试时，荧光灯灯具应在燃点40 min后进行，LED灯具应在燃点15 min后进行。</w:t>
      </w:r>
    </w:p>
    <w:p w14:paraId="65072C59">
      <w:pPr>
        <w:pStyle w:val="97"/>
        <w:spacing w:before="120" w:after="120"/>
        <w:rPr>
          <w:rFonts w:ascii="Times New Roman" w:eastAsia="宋体"/>
        </w:rPr>
      </w:pPr>
      <w:r>
        <w:rPr>
          <w:rFonts w:ascii="Times New Roman" w:eastAsia="宋体"/>
        </w:rPr>
        <w:t>测试人员应具有相应的资质和能力，测试设备应经过校准并在有效期内。</w:t>
      </w:r>
    </w:p>
    <w:p w14:paraId="22E93DB1">
      <w:pPr>
        <w:pStyle w:val="68"/>
        <w:spacing w:before="120" w:after="120"/>
        <w:rPr>
          <w:rFonts w:ascii="Times New Roman"/>
        </w:rPr>
      </w:pPr>
      <w:r>
        <w:rPr>
          <w:rFonts w:ascii="Times New Roman"/>
        </w:rPr>
        <w:t>测试方法</w:t>
      </w:r>
    </w:p>
    <w:p w14:paraId="281281BF">
      <w:pPr>
        <w:pStyle w:val="97"/>
        <w:spacing w:before="120" w:after="120"/>
        <w:rPr>
          <w:rFonts w:ascii="Times New Roman" w:eastAsia="宋体"/>
        </w:rPr>
      </w:pPr>
      <w:r>
        <w:rPr>
          <w:rFonts w:ascii="Times New Roman" w:eastAsia="宋体"/>
        </w:rPr>
        <w:t>课桌面平均照度、黑板面平均照度、眼部垂直照度、照度均匀度、照明功率密度、统一眩光值、相关色温、一般显色指数、特殊显色指数（R9）和波动深度的现场测试方法和计算指引按附录B规定执行。</w:t>
      </w:r>
    </w:p>
    <w:p w14:paraId="57E233D3">
      <w:pPr>
        <w:pStyle w:val="97"/>
        <w:spacing w:before="120" w:after="120"/>
        <w:rPr>
          <w:rFonts w:ascii="Times New Roman" w:eastAsia="宋体"/>
        </w:rPr>
      </w:pPr>
      <w:r>
        <w:rPr>
          <w:rFonts w:ascii="Times New Roman" w:eastAsia="宋体"/>
        </w:rPr>
        <w:t>节律照明指标视黑素响应日光（D65）等效照度m-EDI测试和计算方法按附录C规定执行。</w:t>
      </w:r>
    </w:p>
    <w:p w14:paraId="571A4FE2">
      <w:pPr>
        <w:pStyle w:val="108"/>
        <w:spacing w:before="120" w:after="120"/>
      </w:pPr>
      <w:bookmarkStart w:id="206" w:name="_Toc10624"/>
      <w:bookmarkStart w:id="207" w:name="_Toc2703"/>
      <w:r>
        <w:rPr>
          <w:rFonts w:hint="eastAsia"/>
        </w:rPr>
        <w:t>验收资料要求</w:t>
      </w:r>
      <w:bookmarkEnd w:id="206"/>
      <w:bookmarkEnd w:id="207"/>
    </w:p>
    <w:p w14:paraId="5DEC7A7D">
      <w:pPr>
        <w:pStyle w:val="68"/>
        <w:spacing w:before="120" w:after="120"/>
        <w:rPr>
          <w:rFonts w:ascii="Times New Roman" w:eastAsia="宋体"/>
        </w:rPr>
      </w:pPr>
      <w:r>
        <w:rPr>
          <w:rFonts w:hint="eastAsia" w:ascii="Times New Roman" w:eastAsia="宋体"/>
        </w:rPr>
        <w:t>灯具生产企业提供的产品合格证、CCC认证证书（应在有效期内）以及符合本文件要求的第三方检测机构出具的检测报告。</w:t>
      </w:r>
    </w:p>
    <w:p w14:paraId="0A67A922">
      <w:pPr>
        <w:pStyle w:val="68"/>
        <w:spacing w:before="120" w:after="120"/>
        <w:rPr>
          <w:rFonts w:ascii="Times New Roman" w:eastAsia="宋体"/>
        </w:rPr>
      </w:pPr>
      <w:r>
        <w:rPr>
          <w:rFonts w:hint="eastAsia" w:ascii="Times New Roman" w:eastAsia="宋体"/>
        </w:rPr>
        <w:t>施工实施方案、施工人员（设备）投入一览表及施工质量（安全）管理制度。</w:t>
      </w:r>
    </w:p>
    <w:p w14:paraId="5A3435FB">
      <w:pPr>
        <w:pStyle w:val="68"/>
        <w:spacing w:before="120" w:after="120"/>
        <w:rPr>
          <w:rFonts w:ascii="Times New Roman" w:eastAsia="宋体"/>
        </w:rPr>
      </w:pPr>
      <w:r>
        <w:rPr>
          <w:rFonts w:hint="eastAsia" w:ascii="Times New Roman" w:eastAsia="宋体"/>
        </w:rPr>
        <w:t>施工设计方案和图纸。</w:t>
      </w:r>
    </w:p>
    <w:p w14:paraId="07AF4EB5">
      <w:pPr>
        <w:pStyle w:val="68"/>
        <w:spacing w:before="120" w:after="120"/>
        <w:rPr>
          <w:rFonts w:ascii="Times New Roman" w:eastAsia="宋体"/>
        </w:rPr>
      </w:pPr>
      <w:r>
        <w:rPr>
          <w:rFonts w:hint="eastAsia" w:ascii="Times New Roman" w:eastAsia="宋体"/>
        </w:rPr>
        <w:t>建设单位对灯具型号和安装规范的核查记录。</w:t>
      </w:r>
    </w:p>
    <w:p w14:paraId="44F66557">
      <w:pPr>
        <w:pStyle w:val="68"/>
        <w:spacing w:before="120" w:after="120"/>
        <w:rPr>
          <w:rFonts w:ascii="Times New Roman" w:eastAsia="宋体"/>
        </w:rPr>
      </w:pPr>
      <w:r>
        <w:rPr>
          <w:rFonts w:hint="eastAsia" w:ascii="Times New Roman" w:eastAsia="宋体"/>
        </w:rPr>
        <w:t>有资质的第三方检测机构进行现场测试后出具的检测合格报告。</w:t>
      </w:r>
    </w:p>
    <w:p w14:paraId="5F8B6C11">
      <w:pPr>
        <w:pStyle w:val="68"/>
        <w:spacing w:before="120" w:after="120"/>
        <w:rPr>
          <w:rFonts w:ascii="Times New Roman" w:eastAsia="宋体"/>
        </w:rPr>
      </w:pPr>
      <w:r>
        <w:rPr>
          <w:rFonts w:hint="eastAsia" w:ascii="Times New Roman" w:eastAsia="宋体"/>
        </w:rPr>
        <w:t>合同及其他相关资料。</w:t>
      </w:r>
    </w:p>
    <w:p w14:paraId="77AEDAA3">
      <w:pPr>
        <w:pStyle w:val="59"/>
        <w:ind w:firstLine="420"/>
      </w:pPr>
    </w:p>
    <w:p w14:paraId="160309C9">
      <w:pPr>
        <w:pStyle w:val="177"/>
        <w:numPr>
          <w:ilvl w:val="0"/>
          <w:numId w:val="0"/>
        </w:numPr>
        <w:ind w:left="851"/>
        <w:jc w:val="center"/>
      </w:pPr>
    </w:p>
    <w:p w14:paraId="537265DF">
      <w:pPr>
        <w:pStyle w:val="177"/>
        <w:numPr>
          <w:ilvl w:val="0"/>
          <w:numId w:val="0"/>
        </w:numPr>
        <w:ind w:left="851"/>
        <w:jc w:val="center"/>
      </w:pPr>
    </w:p>
    <w:p w14:paraId="0C1002BC">
      <w:pPr>
        <w:pStyle w:val="177"/>
        <w:numPr>
          <w:ilvl w:val="0"/>
          <w:numId w:val="0"/>
        </w:numPr>
        <w:ind w:left="851"/>
        <w:jc w:val="center"/>
      </w:pPr>
    </w:p>
    <w:p w14:paraId="161967D8">
      <w:pPr>
        <w:pStyle w:val="177"/>
        <w:numPr>
          <w:ilvl w:val="0"/>
          <w:numId w:val="0"/>
        </w:numPr>
        <w:ind w:left="851"/>
        <w:jc w:val="center"/>
      </w:pPr>
    </w:p>
    <w:p w14:paraId="7DDC3171">
      <w:pPr>
        <w:pStyle w:val="177"/>
        <w:numPr>
          <w:ilvl w:val="0"/>
          <w:numId w:val="0"/>
        </w:numPr>
        <w:ind w:left="851"/>
        <w:jc w:val="center"/>
      </w:pPr>
    </w:p>
    <w:p w14:paraId="3A6A971D">
      <w:pPr>
        <w:pStyle w:val="177"/>
        <w:numPr>
          <w:ilvl w:val="0"/>
          <w:numId w:val="0"/>
        </w:numPr>
        <w:ind w:left="851"/>
        <w:jc w:val="center"/>
      </w:pPr>
    </w:p>
    <w:p w14:paraId="0E957B75">
      <w:pPr>
        <w:pStyle w:val="177"/>
        <w:numPr>
          <w:ilvl w:val="0"/>
          <w:numId w:val="0"/>
        </w:numPr>
        <w:ind w:left="851"/>
        <w:jc w:val="center"/>
      </w:pPr>
    </w:p>
    <w:p w14:paraId="0C88FEE6">
      <w:pPr>
        <w:pStyle w:val="177"/>
        <w:numPr>
          <w:ilvl w:val="0"/>
          <w:numId w:val="0"/>
        </w:numPr>
        <w:ind w:left="851"/>
        <w:jc w:val="center"/>
      </w:pPr>
    </w:p>
    <w:p w14:paraId="6AC93501">
      <w:pPr>
        <w:pStyle w:val="177"/>
        <w:numPr>
          <w:ilvl w:val="0"/>
          <w:numId w:val="0"/>
        </w:numPr>
        <w:ind w:left="851"/>
        <w:jc w:val="center"/>
      </w:pPr>
    </w:p>
    <w:p w14:paraId="0212AD96">
      <w:pPr>
        <w:pStyle w:val="177"/>
        <w:numPr>
          <w:ilvl w:val="0"/>
          <w:numId w:val="0"/>
        </w:numPr>
        <w:ind w:left="851"/>
        <w:jc w:val="center"/>
        <w:sectPr>
          <w:headerReference r:id="rId17" w:type="default"/>
          <w:footerReference r:id="rId19" w:type="default"/>
          <w:headerReference r:id="rId18" w:type="even"/>
          <w:footerReference r:id="rId20" w:type="even"/>
          <w:pgSz w:w="11906" w:h="16838"/>
          <w:pgMar w:top="1928" w:right="1134" w:bottom="1134" w:left="1134" w:header="1418" w:footer="1134" w:gutter="284"/>
          <w:pgNumType w:start="1"/>
          <w:cols w:space="425" w:num="1"/>
          <w:formProt w:val="0"/>
          <w:docGrid w:linePitch="312" w:charSpace="0"/>
        </w:sectPr>
      </w:pPr>
    </w:p>
    <w:bookmarkEnd w:id="4"/>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14:paraId="410B1E1B">
      <w:pPr>
        <w:pStyle w:val="79"/>
        <w:spacing w:after="120"/>
      </w:pPr>
      <w:bookmarkStart w:id="208" w:name="_Toc18257"/>
      <w:bookmarkStart w:id="209" w:name="BookMark8"/>
      <w:r>
        <w:br w:type="textWrapping"/>
      </w:r>
      <w:bookmarkStart w:id="210" w:name="_Toc167287350"/>
      <w:r>
        <w:rPr>
          <w:rFonts w:hint="eastAsia"/>
        </w:rPr>
        <w:t>（规范性）</w:t>
      </w:r>
      <w:r>
        <w:br w:type="textWrapping"/>
      </w:r>
      <w:bookmarkEnd w:id="210"/>
      <w:r>
        <w:rPr>
          <w:rFonts w:hint="eastAsia"/>
        </w:rPr>
        <w:t>色坐标和色容差要求</w:t>
      </w:r>
      <w:bookmarkEnd w:id="208"/>
    </w:p>
    <w:p w14:paraId="46B0F95B">
      <w:pPr>
        <w:pStyle w:val="59"/>
        <w:ind w:firstLine="420"/>
        <w:rPr>
          <w:rFonts w:ascii="Times New Roman"/>
        </w:rPr>
      </w:pPr>
      <w:r>
        <w:rPr>
          <w:rFonts w:ascii="Times New Roman"/>
        </w:rPr>
        <w:t>色度坐标的目标值见表A.1，色容差应在色度坐标目标值的5 SDCM（色匹配的标准偏差）之内。可调色灯具色容差应参考制造商给出的色度坐标目标值进行计算。</w:t>
      </w:r>
    </w:p>
    <w:p w14:paraId="47B1A175">
      <w:pPr>
        <w:pStyle w:val="80"/>
        <w:spacing w:before="120" w:after="120"/>
      </w:pPr>
      <w:r>
        <w:rPr>
          <w:rFonts w:hint="eastAsia"/>
        </w:rPr>
        <w:t>色度坐标</w:t>
      </w:r>
    </w:p>
    <w:tbl>
      <w:tblPr>
        <w:tblStyle w:val="28"/>
        <w:tblW w:w="957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190"/>
        <w:gridCol w:w="3190"/>
        <w:gridCol w:w="3190"/>
      </w:tblGrid>
      <w:tr w14:paraId="6416E4F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190" w:type="dxa"/>
            <w:vMerge w:val="restart"/>
            <w:tcBorders>
              <w:top w:val="single" w:color="auto" w:sz="12" w:space="0"/>
              <w:bottom w:val="single" w:color="auto" w:sz="4" w:space="0"/>
            </w:tcBorders>
            <w:vAlign w:val="center"/>
          </w:tcPr>
          <w:p w14:paraId="1F83D81B">
            <w:pPr>
              <w:adjustRightInd/>
              <w:spacing w:line="276" w:lineRule="auto"/>
              <w:jc w:val="center"/>
              <w:rPr>
                <w:rFonts w:ascii="Times New Roman" w:hAnsi="Times New Roman"/>
                <w:sz w:val="18"/>
                <w:szCs w:val="18"/>
              </w:rPr>
            </w:pPr>
            <w:r>
              <w:rPr>
                <w:rFonts w:ascii="Times New Roman" w:hAnsi="Times New Roman"/>
                <w:sz w:val="18"/>
                <w:szCs w:val="18"/>
              </w:rPr>
              <w:t>额定相关色温</w:t>
            </w:r>
          </w:p>
          <w:p w14:paraId="406A41D0">
            <w:pPr>
              <w:adjustRightInd/>
              <w:spacing w:line="276" w:lineRule="auto"/>
              <w:jc w:val="center"/>
              <w:rPr>
                <w:rFonts w:ascii="Times New Roman" w:hAnsi="Times New Roman"/>
                <w:sz w:val="18"/>
                <w:szCs w:val="18"/>
              </w:rPr>
            </w:pPr>
            <w:r>
              <w:rPr>
                <w:rFonts w:ascii="Times New Roman" w:hAnsi="Times New Roman"/>
                <w:sz w:val="18"/>
                <w:szCs w:val="18"/>
              </w:rPr>
              <w:t>（K）</w:t>
            </w:r>
          </w:p>
        </w:tc>
        <w:tc>
          <w:tcPr>
            <w:tcW w:w="6380" w:type="dxa"/>
            <w:gridSpan w:val="2"/>
            <w:tcBorders>
              <w:top w:val="single" w:color="auto" w:sz="12" w:space="0"/>
              <w:bottom w:val="single" w:color="auto" w:sz="4" w:space="0"/>
            </w:tcBorders>
            <w:vAlign w:val="center"/>
          </w:tcPr>
          <w:p w14:paraId="23404EF6">
            <w:pPr>
              <w:adjustRightInd/>
              <w:spacing w:line="276" w:lineRule="auto"/>
              <w:jc w:val="center"/>
              <w:rPr>
                <w:rFonts w:ascii="Times New Roman" w:hAnsi="Times New Roman"/>
                <w:sz w:val="18"/>
                <w:szCs w:val="18"/>
              </w:rPr>
            </w:pPr>
            <w:r>
              <w:rPr>
                <w:rFonts w:ascii="Times New Roman" w:hAnsi="Times New Roman"/>
                <w:sz w:val="18"/>
                <w:szCs w:val="18"/>
              </w:rPr>
              <w:t>色度坐标目标值</w:t>
            </w:r>
          </w:p>
        </w:tc>
      </w:tr>
      <w:tr w14:paraId="5139949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190" w:type="dxa"/>
            <w:vMerge w:val="continue"/>
            <w:tcBorders>
              <w:top w:val="single" w:color="auto" w:sz="4" w:space="0"/>
              <w:bottom w:val="single" w:color="auto" w:sz="12" w:space="0"/>
            </w:tcBorders>
            <w:vAlign w:val="center"/>
          </w:tcPr>
          <w:p w14:paraId="04D23F86">
            <w:pPr>
              <w:adjustRightInd/>
              <w:spacing w:line="276" w:lineRule="auto"/>
              <w:jc w:val="center"/>
              <w:rPr>
                <w:rFonts w:ascii="Times New Roman" w:hAnsi="Times New Roman"/>
                <w:sz w:val="18"/>
                <w:szCs w:val="18"/>
              </w:rPr>
            </w:pPr>
          </w:p>
        </w:tc>
        <w:tc>
          <w:tcPr>
            <w:tcW w:w="3190" w:type="dxa"/>
            <w:tcBorders>
              <w:top w:val="single" w:color="auto" w:sz="4" w:space="0"/>
              <w:bottom w:val="single" w:color="auto" w:sz="12" w:space="0"/>
            </w:tcBorders>
            <w:vAlign w:val="center"/>
          </w:tcPr>
          <w:p w14:paraId="1FBA56B7">
            <w:pPr>
              <w:adjustRightInd/>
              <w:spacing w:line="276" w:lineRule="auto"/>
              <w:jc w:val="center"/>
              <w:rPr>
                <w:rFonts w:ascii="Times New Roman" w:hAnsi="Times New Roman"/>
                <w:sz w:val="18"/>
                <w:szCs w:val="18"/>
              </w:rPr>
            </w:pPr>
            <w:r>
              <w:rPr>
                <w:rFonts w:ascii="Times New Roman" w:hAnsi="Times New Roman"/>
                <w:sz w:val="18"/>
                <w:szCs w:val="18"/>
              </w:rPr>
              <w:t>x</w:t>
            </w:r>
          </w:p>
        </w:tc>
        <w:tc>
          <w:tcPr>
            <w:tcW w:w="3190" w:type="dxa"/>
            <w:tcBorders>
              <w:top w:val="single" w:color="auto" w:sz="4" w:space="0"/>
              <w:bottom w:val="single" w:color="auto" w:sz="12" w:space="0"/>
            </w:tcBorders>
            <w:vAlign w:val="center"/>
          </w:tcPr>
          <w:p w14:paraId="379334C6">
            <w:pPr>
              <w:adjustRightInd/>
              <w:spacing w:line="276" w:lineRule="auto"/>
              <w:jc w:val="center"/>
              <w:rPr>
                <w:rFonts w:ascii="Times New Roman" w:hAnsi="Times New Roman"/>
                <w:sz w:val="18"/>
                <w:szCs w:val="18"/>
              </w:rPr>
            </w:pPr>
            <w:r>
              <w:rPr>
                <w:rFonts w:ascii="Times New Roman" w:hAnsi="Times New Roman"/>
                <w:sz w:val="18"/>
                <w:szCs w:val="18"/>
              </w:rPr>
              <w:t>y</w:t>
            </w:r>
          </w:p>
        </w:tc>
      </w:tr>
      <w:tr w14:paraId="7DD10E9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190" w:type="dxa"/>
            <w:tcBorders>
              <w:top w:val="single" w:color="auto" w:sz="12" w:space="0"/>
            </w:tcBorders>
            <w:vAlign w:val="center"/>
          </w:tcPr>
          <w:p w14:paraId="0E86B2AB">
            <w:pPr>
              <w:adjustRightInd/>
              <w:spacing w:line="276" w:lineRule="auto"/>
              <w:jc w:val="center"/>
              <w:rPr>
                <w:rFonts w:ascii="Times New Roman" w:hAnsi="Times New Roman"/>
                <w:sz w:val="18"/>
                <w:szCs w:val="18"/>
              </w:rPr>
            </w:pPr>
            <w:r>
              <w:rPr>
                <w:rFonts w:ascii="Times New Roman" w:hAnsi="Times New Roman"/>
                <w:sz w:val="18"/>
                <w:szCs w:val="18"/>
              </w:rPr>
              <w:t>3500</w:t>
            </w:r>
          </w:p>
        </w:tc>
        <w:tc>
          <w:tcPr>
            <w:tcW w:w="3190" w:type="dxa"/>
            <w:tcBorders>
              <w:top w:val="single" w:color="auto" w:sz="12" w:space="0"/>
            </w:tcBorders>
            <w:vAlign w:val="center"/>
          </w:tcPr>
          <w:p w14:paraId="0903FD60">
            <w:pPr>
              <w:adjustRightInd/>
              <w:spacing w:line="276" w:lineRule="auto"/>
              <w:jc w:val="center"/>
              <w:rPr>
                <w:rFonts w:ascii="Times New Roman" w:hAnsi="Times New Roman"/>
                <w:sz w:val="18"/>
                <w:szCs w:val="18"/>
              </w:rPr>
            </w:pPr>
            <w:r>
              <w:rPr>
                <w:rFonts w:ascii="Times New Roman" w:hAnsi="Times New Roman"/>
                <w:sz w:val="18"/>
                <w:szCs w:val="18"/>
              </w:rPr>
              <w:t>0.409</w:t>
            </w:r>
          </w:p>
        </w:tc>
        <w:tc>
          <w:tcPr>
            <w:tcW w:w="3190" w:type="dxa"/>
            <w:tcBorders>
              <w:top w:val="single" w:color="auto" w:sz="12" w:space="0"/>
            </w:tcBorders>
            <w:vAlign w:val="center"/>
          </w:tcPr>
          <w:p w14:paraId="3EBF7A76">
            <w:pPr>
              <w:adjustRightInd/>
              <w:spacing w:line="276" w:lineRule="auto"/>
              <w:jc w:val="center"/>
              <w:rPr>
                <w:rFonts w:ascii="Times New Roman" w:hAnsi="Times New Roman"/>
                <w:sz w:val="18"/>
                <w:szCs w:val="18"/>
              </w:rPr>
            </w:pPr>
            <w:r>
              <w:rPr>
                <w:rFonts w:ascii="Times New Roman" w:hAnsi="Times New Roman"/>
                <w:sz w:val="18"/>
                <w:szCs w:val="18"/>
              </w:rPr>
              <w:t>0.394</w:t>
            </w:r>
          </w:p>
        </w:tc>
      </w:tr>
      <w:tr w14:paraId="4D8826E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190" w:type="dxa"/>
            <w:vAlign w:val="center"/>
          </w:tcPr>
          <w:p w14:paraId="51F3FF78">
            <w:pPr>
              <w:adjustRightInd/>
              <w:spacing w:line="276" w:lineRule="auto"/>
              <w:jc w:val="center"/>
              <w:rPr>
                <w:rFonts w:ascii="Times New Roman" w:hAnsi="Times New Roman"/>
                <w:sz w:val="18"/>
                <w:szCs w:val="18"/>
              </w:rPr>
            </w:pPr>
            <w:r>
              <w:rPr>
                <w:rFonts w:ascii="Times New Roman" w:hAnsi="Times New Roman"/>
                <w:sz w:val="18"/>
                <w:szCs w:val="18"/>
              </w:rPr>
              <w:t>4000</w:t>
            </w:r>
          </w:p>
        </w:tc>
        <w:tc>
          <w:tcPr>
            <w:tcW w:w="3190" w:type="dxa"/>
            <w:vAlign w:val="center"/>
          </w:tcPr>
          <w:p w14:paraId="05A535BE">
            <w:pPr>
              <w:adjustRightInd/>
              <w:spacing w:line="276" w:lineRule="auto"/>
              <w:jc w:val="center"/>
              <w:rPr>
                <w:rFonts w:ascii="Times New Roman" w:hAnsi="Times New Roman"/>
                <w:sz w:val="18"/>
                <w:szCs w:val="18"/>
              </w:rPr>
            </w:pPr>
            <w:r>
              <w:rPr>
                <w:rFonts w:ascii="Times New Roman" w:hAnsi="Times New Roman"/>
                <w:sz w:val="18"/>
                <w:szCs w:val="18"/>
              </w:rPr>
              <w:t>0.380</w:t>
            </w:r>
          </w:p>
        </w:tc>
        <w:tc>
          <w:tcPr>
            <w:tcW w:w="3190" w:type="dxa"/>
            <w:vAlign w:val="center"/>
          </w:tcPr>
          <w:p w14:paraId="4F9AC8D9">
            <w:pPr>
              <w:adjustRightInd/>
              <w:spacing w:line="276" w:lineRule="auto"/>
              <w:jc w:val="center"/>
              <w:rPr>
                <w:rFonts w:ascii="Times New Roman" w:hAnsi="Times New Roman"/>
                <w:sz w:val="18"/>
                <w:szCs w:val="18"/>
              </w:rPr>
            </w:pPr>
            <w:r>
              <w:rPr>
                <w:rFonts w:ascii="Times New Roman" w:hAnsi="Times New Roman"/>
                <w:sz w:val="18"/>
                <w:szCs w:val="18"/>
              </w:rPr>
              <w:t>0.380</w:t>
            </w:r>
          </w:p>
        </w:tc>
      </w:tr>
      <w:tr w14:paraId="2533D91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190" w:type="dxa"/>
            <w:vAlign w:val="center"/>
          </w:tcPr>
          <w:p w14:paraId="52749145">
            <w:pPr>
              <w:adjustRightInd/>
              <w:spacing w:line="276" w:lineRule="auto"/>
              <w:jc w:val="center"/>
              <w:rPr>
                <w:rFonts w:ascii="Times New Roman" w:hAnsi="Times New Roman"/>
                <w:sz w:val="18"/>
                <w:szCs w:val="18"/>
              </w:rPr>
            </w:pPr>
            <w:r>
              <w:rPr>
                <w:rFonts w:ascii="Times New Roman" w:hAnsi="Times New Roman"/>
                <w:sz w:val="18"/>
                <w:szCs w:val="18"/>
              </w:rPr>
              <w:t>5000</w:t>
            </w:r>
          </w:p>
        </w:tc>
        <w:tc>
          <w:tcPr>
            <w:tcW w:w="3190" w:type="dxa"/>
            <w:vAlign w:val="center"/>
          </w:tcPr>
          <w:p w14:paraId="2D6264FC">
            <w:pPr>
              <w:adjustRightInd/>
              <w:spacing w:line="276" w:lineRule="auto"/>
              <w:jc w:val="center"/>
              <w:rPr>
                <w:rFonts w:ascii="Times New Roman" w:hAnsi="Times New Roman"/>
                <w:sz w:val="18"/>
                <w:szCs w:val="18"/>
              </w:rPr>
            </w:pPr>
            <w:r>
              <w:rPr>
                <w:rFonts w:ascii="Times New Roman" w:hAnsi="Times New Roman"/>
                <w:sz w:val="18"/>
                <w:szCs w:val="18"/>
              </w:rPr>
              <w:t>0.346</w:t>
            </w:r>
          </w:p>
        </w:tc>
        <w:tc>
          <w:tcPr>
            <w:tcW w:w="3190" w:type="dxa"/>
            <w:vAlign w:val="center"/>
          </w:tcPr>
          <w:p w14:paraId="2E3BA32F">
            <w:pPr>
              <w:adjustRightInd/>
              <w:spacing w:line="276" w:lineRule="auto"/>
              <w:jc w:val="center"/>
              <w:rPr>
                <w:rFonts w:ascii="Times New Roman" w:hAnsi="Times New Roman"/>
                <w:sz w:val="18"/>
                <w:szCs w:val="18"/>
              </w:rPr>
            </w:pPr>
            <w:r>
              <w:rPr>
                <w:rFonts w:ascii="Times New Roman" w:hAnsi="Times New Roman"/>
                <w:sz w:val="18"/>
                <w:szCs w:val="18"/>
              </w:rPr>
              <w:t>0.359</w:t>
            </w:r>
          </w:p>
        </w:tc>
      </w:tr>
    </w:tbl>
    <w:p w14:paraId="7AFB20E8">
      <w:pPr>
        <w:pStyle w:val="59"/>
        <w:ind w:firstLine="0" w:firstLineChars="0"/>
        <w:jc w:val="center"/>
      </w:pPr>
    </w:p>
    <w:p w14:paraId="1050B0EC">
      <w:pPr>
        <w:pStyle w:val="59"/>
        <w:ind w:firstLine="0" w:firstLineChars="0"/>
        <w:jc w:val="center"/>
        <w:sectPr>
          <w:pgSz w:w="11906" w:h="16838"/>
          <w:pgMar w:top="1928" w:right="1134" w:bottom="1134" w:left="1134" w:header="1418" w:footer="1134" w:gutter="284"/>
          <w:cols w:space="425" w:num="1"/>
          <w:formProt w:val="0"/>
          <w:docGrid w:linePitch="312" w:charSpace="0"/>
        </w:sectPr>
      </w:pPr>
    </w:p>
    <w:p w14:paraId="3ABCD177">
      <w:pPr>
        <w:pStyle w:val="79"/>
        <w:spacing w:after="120"/>
      </w:pPr>
      <w:bookmarkStart w:id="211" w:name="_Toc28423"/>
      <w:r>
        <w:br w:type="textWrapping"/>
      </w:r>
      <w:bookmarkStart w:id="212" w:name="_Toc167287351"/>
      <w:r>
        <w:rPr>
          <w:rFonts w:hint="eastAsia"/>
        </w:rPr>
        <w:t>（规范性）</w:t>
      </w:r>
      <w:r>
        <w:br w:type="textWrapping"/>
      </w:r>
      <w:bookmarkEnd w:id="212"/>
      <w:r>
        <w:rPr>
          <w:rFonts w:hint="eastAsia"/>
        </w:rPr>
        <w:t>现场测试方法</w:t>
      </w:r>
      <w:bookmarkEnd w:id="211"/>
    </w:p>
    <w:p w14:paraId="51F455B5">
      <w:pPr>
        <w:pStyle w:val="81"/>
        <w:spacing w:before="120" w:after="120"/>
      </w:pPr>
      <w:bookmarkStart w:id="213" w:name="_Toc7263"/>
      <w:r>
        <w:rPr>
          <w:rFonts w:hint="eastAsia"/>
        </w:rPr>
        <w:t>教室课桌面照度测点布置</w:t>
      </w:r>
      <w:bookmarkEnd w:id="213"/>
    </w:p>
    <w:p w14:paraId="70C2730A">
      <w:pPr>
        <w:pStyle w:val="59"/>
        <w:ind w:firstLine="420"/>
        <w:rPr>
          <w:rFonts w:ascii="Times New Roman"/>
        </w:rPr>
      </w:pPr>
      <w:r>
        <w:rPr>
          <w:rFonts w:hint="eastAsia" w:ascii="Times New Roman"/>
        </w:rPr>
        <w:t>按照GB/T 5700的要求，教室课桌面照度按中心布点法布置测量点，应满足下列要求：</w:t>
      </w:r>
    </w:p>
    <w:p w14:paraId="64560F5F">
      <w:pPr>
        <w:pStyle w:val="59"/>
        <w:ind w:firstLine="420"/>
        <w:rPr>
          <w:rFonts w:ascii="Times New Roman"/>
        </w:rPr>
      </w:pPr>
      <w:r>
        <w:rPr>
          <w:rFonts w:hint="eastAsia" w:ascii="Times New Roman"/>
        </w:rPr>
        <w:t>教室课桌面照度的测量区域以距离黑板向后2.20 m，距离后墙向前1.10 m，以及左右墙面组成的矩形区域为测量区域；根据测试区域的长宽尺寸，均匀划出不大于2 m×2 m的矩形区域为测量网格，其网格中心位置为测量点，如图B.1所示；应取地面0.75 m高的水平面为工作面，也可根据实际情况选定其他工作面。</w:t>
      </w:r>
    </w:p>
    <w:tbl>
      <w:tblPr>
        <w:tblStyle w:val="2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605"/>
        <w:gridCol w:w="605"/>
        <w:gridCol w:w="605"/>
        <w:gridCol w:w="605"/>
        <w:gridCol w:w="605"/>
        <w:gridCol w:w="605"/>
        <w:gridCol w:w="605"/>
      </w:tblGrid>
      <w:tr w14:paraId="7A73D61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10" w:hRule="atLeast"/>
          <w:jc w:val="center"/>
        </w:trPr>
        <w:tc>
          <w:tcPr>
            <w:tcW w:w="605" w:type="dxa"/>
            <w:vAlign w:val="center"/>
          </w:tcPr>
          <w:p w14:paraId="7247C3F3">
            <w:pPr>
              <w:pStyle w:val="59"/>
              <w:ind w:firstLine="0" w:firstLineChars="0"/>
              <w:jc w:val="center"/>
            </w:pPr>
            <w:r>
              <w:rPr>
                <w:rFonts w:hint="eastAsia" w:ascii="Segoe UI Emoji" w:hAnsi="Segoe UI Emoji" w:cs="Segoe UI Emoji"/>
              </w:rPr>
              <w:t>○</w:t>
            </w:r>
          </w:p>
        </w:tc>
        <w:tc>
          <w:tcPr>
            <w:tcW w:w="605" w:type="dxa"/>
            <w:vAlign w:val="center"/>
          </w:tcPr>
          <w:p w14:paraId="0C30E081">
            <w:pPr>
              <w:pStyle w:val="59"/>
              <w:ind w:firstLine="0" w:firstLineChars="0"/>
              <w:jc w:val="center"/>
            </w:pPr>
            <w:r>
              <w:rPr>
                <w:rFonts w:hint="eastAsia" w:ascii="Segoe UI Emoji" w:hAnsi="Segoe UI Emoji" w:cs="Segoe UI Emoji"/>
              </w:rPr>
              <w:t>○</w:t>
            </w:r>
          </w:p>
        </w:tc>
        <w:tc>
          <w:tcPr>
            <w:tcW w:w="605" w:type="dxa"/>
            <w:vAlign w:val="center"/>
          </w:tcPr>
          <w:p w14:paraId="05C4BA6E">
            <w:pPr>
              <w:pStyle w:val="59"/>
              <w:ind w:firstLine="0" w:firstLineChars="0"/>
              <w:jc w:val="center"/>
            </w:pPr>
            <w:r>
              <w:rPr>
                <w:rFonts w:hint="eastAsia" w:ascii="Segoe UI Emoji" w:hAnsi="Segoe UI Emoji" w:cs="Segoe UI Emoji"/>
              </w:rPr>
              <w:t>○</w:t>
            </w:r>
          </w:p>
        </w:tc>
        <w:tc>
          <w:tcPr>
            <w:tcW w:w="605" w:type="dxa"/>
            <w:vAlign w:val="center"/>
          </w:tcPr>
          <w:p w14:paraId="07C4C8B0">
            <w:pPr>
              <w:pStyle w:val="59"/>
              <w:ind w:firstLine="0" w:firstLineChars="0"/>
              <w:jc w:val="center"/>
            </w:pPr>
            <w:r>
              <w:rPr>
                <w:rFonts w:hint="eastAsia" w:ascii="Segoe UI Emoji" w:hAnsi="Segoe UI Emoji" w:cs="Segoe UI Emoji"/>
              </w:rPr>
              <w:t>○</w:t>
            </w:r>
          </w:p>
        </w:tc>
        <w:tc>
          <w:tcPr>
            <w:tcW w:w="605" w:type="dxa"/>
            <w:vAlign w:val="center"/>
          </w:tcPr>
          <w:p w14:paraId="13BA82C3">
            <w:pPr>
              <w:pStyle w:val="59"/>
              <w:ind w:firstLine="0" w:firstLineChars="0"/>
              <w:jc w:val="center"/>
            </w:pPr>
            <w:r>
              <w:rPr>
                <w:rFonts w:hint="eastAsia" w:ascii="Segoe UI Emoji" w:hAnsi="Segoe UI Emoji" w:cs="Segoe UI Emoji"/>
              </w:rPr>
              <w:t>○</w:t>
            </w:r>
          </w:p>
        </w:tc>
        <w:tc>
          <w:tcPr>
            <w:tcW w:w="605" w:type="dxa"/>
            <w:vAlign w:val="center"/>
          </w:tcPr>
          <w:p w14:paraId="06EC505D">
            <w:pPr>
              <w:pStyle w:val="59"/>
              <w:ind w:firstLine="0" w:firstLineChars="0"/>
              <w:jc w:val="center"/>
            </w:pPr>
            <w:r>
              <w:rPr>
                <w:rFonts w:hint="eastAsia" w:ascii="Segoe UI Emoji" w:hAnsi="Segoe UI Emoji" w:cs="Segoe UI Emoji"/>
              </w:rPr>
              <w:t>○</w:t>
            </w:r>
          </w:p>
        </w:tc>
        <w:tc>
          <w:tcPr>
            <w:tcW w:w="605" w:type="dxa"/>
            <w:vAlign w:val="center"/>
          </w:tcPr>
          <w:p w14:paraId="76D0F802">
            <w:pPr>
              <w:pStyle w:val="59"/>
              <w:ind w:firstLine="0" w:firstLineChars="0"/>
              <w:jc w:val="center"/>
            </w:pPr>
            <w:r>
              <w:rPr>
                <w:rFonts w:hint="eastAsia" w:ascii="Segoe UI Emoji" w:hAnsi="Segoe UI Emoji" w:cs="Segoe UI Emoji"/>
              </w:rPr>
              <w:t>○</w:t>
            </w:r>
          </w:p>
        </w:tc>
      </w:tr>
      <w:tr w14:paraId="25FACC1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10" w:hRule="atLeast"/>
          <w:jc w:val="center"/>
        </w:trPr>
        <w:tc>
          <w:tcPr>
            <w:tcW w:w="605" w:type="dxa"/>
            <w:vAlign w:val="center"/>
          </w:tcPr>
          <w:p w14:paraId="5F3652A2">
            <w:pPr>
              <w:pStyle w:val="59"/>
              <w:ind w:firstLine="0" w:firstLineChars="0"/>
              <w:jc w:val="center"/>
            </w:pPr>
            <w:r>
              <w:rPr>
                <w:rFonts w:hint="eastAsia" w:ascii="Segoe UI Emoji" w:hAnsi="Segoe UI Emoji" w:cs="Segoe UI Emoji"/>
              </w:rPr>
              <w:t>○</w:t>
            </w:r>
          </w:p>
        </w:tc>
        <w:tc>
          <w:tcPr>
            <w:tcW w:w="605" w:type="dxa"/>
            <w:vAlign w:val="center"/>
          </w:tcPr>
          <w:p w14:paraId="5F493D00">
            <w:pPr>
              <w:pStyle w:val="59"/>
              <w:ind w:firstLine="0" w:firstLineChars="0"/>
              <w:jc w:val="center"/>
            </w:pPr>
            <w:r>
              <w:rPr>
                <w:rFonts w:hint="eastAsia" w:ascii="Segoe UI Emoji" w:hAnsi="Segoe UI Emoji" w:cs="Segoe UI Emoji"/>
              </w:rPr>
              <w:t>○</w:t>
            </w:r>
          </w:p>
        </w:tc>
        <w:tc>
          <w:tcPr>
            <w:tcW w:w="605" w:type="dxa"/>
            <w:vAlign w:val="center"/>
          </w:tcPr>
          <w:p w14:paraId="6EDA3AE9">
            <w:pPr>
              <w:pStyle w:val="59"/>
              <w:ind w:firstLine="0" w:firstLineChars="0"/>
              <w:jc w:val="center"/>
            </w:pPr>
            <w:r>
              <w:rPr>
                <w:rFonts w:hint="eastAsia" w:ascii="Segoe UI Emoji" w:hAnsi="Segoe UI Emoji" w:cs="Segoe UI Emoji"/>
              </w:rPr>
              <w:t>○</w:t>
            </w:r>
          </w:p>
        </w:tc>
        <w:tc>
          <w:tcPr>
            <w:tcW w:w="605" w:type="dxa"/>
            <w:vAlign w:val="center"/>
          </w:tcPr>
          <w:p w14:paraId="7A09F078">
            <w:pPr>
              <w:pStyle w:val="59"/>
              <w:ind w:firstLine="0" w:firstLineChars="0"/>
              <w:jc w:val="center"/>
            </w:pPr>
            <w:r>
              <w:rPr>
                <w:rFonts w:hint="eastAsia" w:ascii="Segoe UI Emoji" w:hAnsi="Segoe UI Emoji" w:cs="Segoe UI Emoji"/>
              </w:rPr>
              <w:t>○</w:t>
            </w:r>
          </w:p>
        </w:tc>
        <w:tc>
          <w:tcPr>
            <w:tcW w:w="605" w:type="dxa"/>
            <w:vAlign w:val="center"/>
          </w:tcPr>
          <w:p w14:paraId="2EAFE433">
            <w:pPr>
              <w:pStyle w:val="59"/>
              <w:ind w:firstLine="0" w:firstLineChars="0"/>
              <w:jc w:val="center"/>
            </w:pPr>
            <w:r>
              <w:rPr>
                <w:rFonts w:hint="eastAsia" w:ascii="Segoe UI Emoji" w:hAnsi="Segoe UI Emoji" w:cs="Segoe UI Emoji"/>
              </w:rPr>
              <w:t>○</w:t>
            </w:r>
          </w:p>
        </w:tc>
        <w:tc>
          <w:tcPr>
            <w:tcW w:w="605" w:type="dxa"/>
            <w:vAlign w:val="center"/>
          </w:tcPr>
          <w:p w14:paraId="62E980BB">
            <w:pPr>
              <w:pStyle w:val="59"/>
              <w:ind w:firstLine="0" w:firstLineChars="0"/>
              <w:jc w:val="center"/>
            </w:pPr>
            <w:r>
              <w:rPr>
                <w:rFonts w:hint="eastAsia" w:ascii="Segoe UI Emoji" w:hAnsi="Segoe UI Emoji" w:cs="Segoe UI Emoji"/>
              </w:rPr>
              <w:t>○</w:t>
            </w:r>
          </w:p>
        </w:tc>
        <w:tc>
          <w:tcPr>
            <w:tcW w:w="605" w:type="dxa"/>
            <w:vAlign w:val="center"/>
          </w:tcPr>
          <w:p w14:paraId="1275EEE7">
            <w:pPr>
              <w:pStyle w:val="59"/>
              <w:ind w:firstLine="0" w:firstLineChars="0"/>
              <w:jc w:val="center"/>
            </w:pPr>
            <w:r>
              <w:rPr>
                <w:rFonts w:hint="eastAsia" w:ascii="Segoe UI Emoji" w:hAnsi="Segoe UI Emoji" w:cs="Segoe UI Emoji"/>
              </w:rPr>
              <w:t>○</w:t>
            </w:r>
          </w:p>
        </w:tc>
      </w:tr>
      <w:tr w14:paraId="1A8396C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10" w:hRule="atLeast"/>
          <w:jc w:val="center"/>
        </w:trPr>
        <w:tc>
          <w:tcPr>
            <w:tcW w:w="605" w:type="dxa"/>
            <w:vAlign w:val="center"/>
          </w:tcPr>
          <w:p w14:paraId="15DCD7B7">
            <w:pPr>
              <w:pStyle w:val="59"/>
              <w:ind w:firstLine="0" w:firstLineChars="0"/>
              <w:jc w:val="center"/>
            </w:pPr>
            <w:r>
              <w:rPr>
                <w:rFonts w:hint="eastAsia" w:ascii="Segoe UI Emoji" w:hAnsi="Segoe UI Emoji" w:cs="Segoe UI Emoji"/>
              </w:rPr>
              <w:t>○</w:t>
            </w:r>
          </w:p>
        </w:tc>
        <w:tc>
          <w:tcPr>
            <w:tcW w:w="605" w:type="dxa"/>
            <w:vAlign w:val="center"/>
          </w:tcPr>
          <w:p w14:paraId="6678B168">
            <w:pPr>
              <w:pStyle w:val="59"/>
              <w:ind w:firstLine="0" w:firstLineChars="0"/>
              <w:jc w:val="center"/>
            </w:pPr>
            <w:r>
              <w:rPr>
                <w:rFonts w:hint="eastAsia" w:ascii="Segoe UI Emoji" w:hAnsi="Segoe UI Emoji" w:cs="Segoe UI Emoji"/>
              </w:rPr>
              <w:t>○</w:t>
            </w:r>
          </w:p>
        </w:tc>
        <w:tc>
          <w:tcPr>
            <w:tcW w:w="605" w:type="dxa"/>
            <w:vAlign w:val="center"/>
          </w:tcPr>
          <w:p w14:paraId="185DBC73">
            <w:pPr>
              <w:pStyle w:val="59"/>
              <w:ind w:firstLine="0" w:firstLineChars="0"/>
              <w:jc w:val="center"/>
            </w:pPr>
            <w:r>
              <w:rPr>
                <w:rFonts w:hint="eastAsia" w:ascii="Segoe UI Emoji" w:hAnsi="Segoe UI Emoji" w:cs="Segoe UI Emoji"/>
              </w:rPr>
              <w:t>○</w:t>
            </w:r>
          </w:p>
        </w:tc>
        <w:tc>
          <w:tcPr>
            <w:tcW w:w="605" w:type="dxa"/>
            <w:vAlign w:val="center"/>
          </w:tcPr>
          <w:p w14:paraId="5067B2D2">
            <w:pPr>
              <w:pStyle w:val="59"/>
              <w:ind w:firstLine="0" w:firstLineChars="0"/>
              <w:jc w:val="center"/>
            </w:pPr>
            <w:r>
              <w:rPr>
                <w:rFonts w:hint="eastAsia" w:ascii="Segoe UI Emoji" w:hAnsi="Segoe UI Emoji" w:cs="Segoe UI Emoji"/>
              </w:rPr>
              <w:t>○</w:t>
            </w:r>
          </w:p>
        </w:tc>
        <w:tc>
          <w:tcPr>
            <w:tcW w:w="605" w:type="dxa"/>
            <w:vAlign w:val="center"/>
          </w:tcPr>
          <w:p w14:paraId="1AF99E90">
            <w:pPr>
              <w:pStyle w:val="59"/>
              <w:ind w:firstLine="0" w:firstLineChars="0"/>
              <w:jc w:val="center"/>
            </w:pPr>
            <w:r>
              <w:rPr>
                <w:rFonts w:hint="eastAsia" w:ascii="Segoe UI Emoji" w:hAnsi="Segoe UI Emoji" w:cs="Segoe UI Emoji"/>
              </w:rPr>
              <w:t>○</w:t>
            </w:r>
          </w:p>
        </w:tc>
        <w:tc>
          <w:tcPr>
            <w:tcW w:w="605" w:type="dxa"/>
            <w:vAlign w:val="center"/>
          </w:tcPr>
          <w:p w14:paraId="22C9AE4A">
            <w:pPr>
              <w:pStyle w:val="59"/>
              <w:ind w:firstLine="0" w:firstLineChars="0"/>
              <w:jc w:val="center"/>
            </w:pPr>
            <w:r>
              <w:rPr>
                <w:rFonts w:hint="eastAsia" w:ascii="Segoe UI Emoji" w:hAnsi="Segoe UI Emoji" w:cs="Segoe UI Emoji"/>
              </w:rPr>
              <w:t>○</w:t>
            </w:r>
          </w:p>
        </w:tc>
        <w:tc>
          <w:tcPr>
            <w:tcW w:w="605" w:type="dxa"/>
            <w:vAlign w:val="center"/>
          </w:tcPr>
          <w:p w14:paraId="28E3EBED">
            <w:pPr>
              <w:pStyle w:val="59"/>
              <w:ind w:firstLine="0" w:firstLineChars="0"/>
              <w:jc w:val="center"/>
            </w:pPr>
            <w:r>
              <w:rPr>
                <w:rFonts w:hint="eastAsia" w:ascii="Segoe UI Emoji" w:hAnsi="Segoe UI Emoji" w:cs="Segoe UI Emoji"/>
              </w:rPr>
              <w:t>○</w:t>
            </w:r>
          </w:p>
        </w:tc>
      </w:tr>
      <w:tr w14:paraId="13E0A30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10" w:hRule="atLeast"/>
          <w:jc w:val="center"/>
        </w:trPr>
        <w:tc>
          <w:tcPr>
            <w:tcW w:w="605" w:type="dxa"/>
            <w:vAlign w:val="center"/>
          </w:tcPr>
          <w:p w14:paraId="3E90E1D9">
            <w:pPr>
              <w:pStyle w:val="59"/>
              <w:ind w:firstLine="0" w:firstLineChars="0"/>
              <w:jc w:val="center"/>
            </w:pPr>
            <w:r>
              <w:rPr>
                <w:rFonts w:hint="eastAsia" w:ascii="Segoe UI Emoji" w:hAnsi="Segoe UI Emoji" w:cs="Segoe UI Emoji"/>
              </w:rPr>
              <w:t>○</w:t>
            </w:r>
          </w:p>
        </w:tc>
        <w:tc>
          <w:tcPr>
            <w:tcW w:w="605" w:type="dxa"/>
            <w:vAlign w:val="center"/>
          </w:tcPr>
          <w:p w14:paraId="08E71F35">
            <w:pPr>
              <w:pStyle w:val="59"/>
              <w:ind w:firstLine="0" w:firstLineChars="0"/>
              <w:jc w:val="center"/>
            </w:pPr>
            <w:r>
              <w:rPr>
                <w:rFonts w:hint="eastAsia" w:ascii="Segoe UI Emoji" w:hAnsi="Segoe UI Emoji" w:cs="Segoe UI Emoji"/>
              </w:rPr>
              <w:t>○</w:t>
            </w:r>
          </w:p>
        </w:tc>
        <w:tc>
          <w:tcPr>
            <w:tcW w:w="605" w:type="dxa"/>
            <w:vAlign w:val="center"/>
          </w:tcPr>
          <w:p w14:paraId="024A191F">
            <w:pPr>
              <w:pStyle w:val="59"/>
              <w:ind w:firstLine="0" w:firstLineChars="0"/>
              <w:jc w:val="center"/>
            </w:pPr>
            <w:r>
              <w:rPr>
                <w:rFonts w:hint="eastAsia" w:ascii="Segoe UI Emoji" w:hAnsi="Segoe UI Emoji" w:cs="Segoe UI Emoji"/>
              </w:rPr>
              <w:t>○</w:t>
            </w:r>
          </w:p>
        </w:tc>
        <w:tc>
          <w:tcPr>
            <w:tcW w:w="605" w:type="dxa"/>
            <w:vAlign w:val="center"/>
          </w:tcPr>
          <w:p w14:paraId="440BA57F">
            <w:pPr>
              <w:pStyle w:val="59"/>
              <w:ind w:firstLine="0" w:firstLineChars="0"/>
              <w:jc w:val="center"/>
            </w:pPr>
            <w:r>
              <w:rPr>
                <w:rFonts w:hint="eastAsia" w:ascii="Segoe UI Emoji" w:hAnsi="Segoe UI Emoji" w:cs="Segoe UI Emoji"/>
              </w:rPr>
              <w:t>○</w:t>
            </w:r>
          </w:p>
        </w:tc>
        <w:tc>
          <w:tcPr>
            <w:tcW w:w="605" w:type="dxa"/>
            <w:vAlign w:val="center"/>
          </w:tcPr>
          <w:p w14:paraId="432E3E16">
            <w:pPr>
              <w:pStyle w:val="59"/>
              <w:ind w:firstLine="0" w:firstLineChars="0"/>
              <w:jc w:val="center"/>
            </w:pPr>
            <w:r>
              <w:rPr>
                <w:rFonts w:hint="eastAsia" w:ascii="Segoe UI Emoji" w:hAnsi="Segoe UI Emoji" w:cs="Segoe UI Emoji"/>
              </w:rPr>
              <w:t>○</w:t>
            </w:r>
          </w:p>
        </w:tc>
        <w:tc>
          <w:tcPr>
            <w:tcW w:w="605" w:type="dxa"/>
            <w:vAlign w:val="center"/>
          </w:tcPr>
          <w:p w14:paraId="354248F0">
            <w:pPr>
              <w:pStyle w:val="59"/>
              <w:ind w:firstLine="0" w:firstLineChars="0"/>
              <w:jc w:val="center"/>
            </w:pPr>
            <w:r>
              <w:rPr>
                <w:rFonts w:hint="eastAsia" w:ascii="Segoe UI Emoji" w:hAnsi="Segoe UI Emoji" w:cs="Segoe UI Emoji"/>
              </w:rPr>
              <w:t>○</w:t>
            </w:r>
          </w:p>
        </w:tc>
        <w:tc>
          <w:tcPr>
            <w:tcW w:w="605" w:type="dxa"/>
            <w:vAlign w:val="center"/>
          </w:tcPr>
          <w:p w14:paraId="79C4C7AD">
            <w:pPr>
              <w:pStyle w:val="59"/>
              <w:ind w:firstLine="0" w:firstLineChars="0"/>
              <w:jc w:val="center"/>
            </w:pPr>
            <w:r>
              <w:rPr>
                <w:rFonts w:hint="eastAsia" w:ascii="Segoe UI Emoji" w:hAnsi="Segoe UI Emoji" w:cs="Segoe UI Emoji"/>
              </w:rPr>
              <w:t>○</w:t>
            </w:r>
          </w:p>
        </w:tc>
      </w:tr>
      <w:tr w14:paraId="15918BA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10" w:hRule="atLeast"/>
          <w:jc w:val="center"/>
        </w:trPr>
        <w:tc>
          <w:tcPr>
            <w:tcW w:w="605" w:type="dxa"/>
            <w:vAlign w:val="center"/>
          </w:tcPr>
          <w:p w14:paraId="15CECDBE">
            <w:pPr>
              <w:pStyle w:val="59"/>
              <w:ind w:firstLine="0" w:firstLineChars="0"/>
              <w:jc w:val="center"/>
            </w:pPr>
            <w:r>
              <w:rPr>
                <w:rFonts w:hint="eastAsia" w:ascii="Segoe UI Emoji" w:hAnsi="Segoe UI Emoji" w:cs="Segoe UI Emoji"/>
              </w:rPr>
              <w:t>○</w:t>
            </w:r>
          </w:p>
        </w:tc>
        <w:tc>
          <w:tcPr>
            <w:tcW w:w="605" w:type="dxa"/>
            <w:vAlign w:val="center"/>
          </w:tcPr>
          <w:p w14:paraId="00D22767">
            <w:pPr>
              <w:pStyle w:val="59"/>
              <w:ind w:firstLine="0" w:firstLineChars="0"/>
              <w:jc w:val="center"/>
            </w:pPr>
            <w:r>
              <w:rPr>
                <w:rFonts w:hint="eastAsia" w:ascii="Segoe UI Emoji" w:hAnsi="Segoe UI Emoji" w:cs="Segoe UI Emoji"/>
              </w:rPr>
              <w:t>○</w:t>
            </w:r>
          </w:p>
        </w:tc>
        <w:tc>
          <w:tcPr>
            <w:tcW w:w="605" w:type="dxa"/>
            <w:vAlign w:val="center"/>
          </w:tcPr>
          <w:p w14:paraId="2228E748">
            <w:pPr>
              <w:pStyle w:val="59"/>
              <w:ind w:firstLine="0" w:firstLineChars="0"/>
              <w:jc w:val="center"/>
            </w:pPr>
            <w:r>
              <w:rPr>
                <w:rFonts w:hint="eastAsia" w:ascii="Segoe UI Emoji" w:hAnsi="Segoe UI Emoji" w:cs="Segoe UI Emoji"/>
              </w:rPr>
              <w:t>○</w:t>
            </w:r>
          </w:p>
        </w:tc>
        <w:tc>
          <w:tcPr>
            <w:tcW w:w="605" w:type="dxa"/>
            <w:vAlign w:val="center"/>
          </w:tcPr>
          <w:p w14:paraId="3EC599DF">
            <w:pPr>
              <w:pStyle w:val="59"/>
              <w:ind w:firstLine="0" w:firstLineChars="0"/>
              <w:jc w:val="center"/>
            </w:pPr>
            <w:r>
              <w:rPr>
                <w:rFonts w:hint="eastAsia" w:ascii="Segoe UI Emoji" w:hAnsi="Segoe UI Emoji" w:cs="Segoe UI Emoji"/>
              </w:rPr>
              <w:t>○</w:t>
            </w:r>
          </w:p>
        </w:tc>
        <w:tc>
          <w:tcPr>
            <w:tcW w:w="605" w:type="dxa"/>
            <w:vAlign w:val="center"/>
          </w:tcPr>
          <w:p w14:paraId="4B538C66">
            <w:pPr>
              <w:pStyle w:val="59"/>
              <w:ind w:firstLine="0" w:firstLineChars="0"/>
              <w:jc w:val="center"/>
            </w:pPr>
            <w:r>
              <w:rPr>
                <w:rFonts w:hint="eastAsia" w:ascii="Segoe UI Emoji" w:hAnsi="Segoe UI Emoji" w:cs="Segoe UI Emoji"/>
              </w:rPr>
              <w:t>○</w:t>
            </w:r>
          </w:p>
        </w:tc>
        <w:tc>
          <w:tcPr>
            <w:tcW w:w="605" w:type="dxa"/>
            <w:vAlign w:val="center"/>
          </w:tcPr>
          <w:p w14:paraId="4BB51BB5">
            <w:pPr>
              <w:pStyle w:val="59"/>
              <w:ind w:firstLine="0" w:firstLineChars="0"/>
              <w:jc w:val="center"/>
            </w:pPr>
            <w:r>
              <w:rPr>
                <w:rFonts w:hint="eastAsia" w:ascii="Segoe UI Emoji" w:hAnsi="Segoe UI Emoji" w:cs="Segoe UI Emoji"/>
              </w:rPr>
              <w:t>○</w:t>
            </w:r>
          </w:p>
        </w:tc>
        <w:tc>
          <w:tcPr>
            <w:tcW w:w="605" w:type="dxa"/>
            <w:vAlign w:val="center"/>
          </w:tcPr>
          <w:p w14:paraId="34CA02EE">
            <w:pPr>
              <w:pStyle w:val="59"/>
              <w:ind w:firstLine="0" w:firstLineChars="0"/>
              <w:jc w:val="center"/>
            </w:pPr>
            <w:r>
              <w:rPr>
                <w:rFonts w:hint="eastAsia" w:ascii="Segoe UI Emoji" w:hAnsi="Segoe UI Emoji" w:cs="Segoe UI Emoji"/>
              </w:rPr>
              <w:t>○</w:t>
            </w:r>
          </w:p>
        </w:tc>
      </w:tr>
      <w:tr w14:paraId="0B19063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trHeight w:val="597" w:hRule="atLeast"/>
          <w:jc w:val="center"/>
        </w:trPr>
        <w:tc>
          <w:tcPr>
            <w:tcW w:w="605" w:type="dxa"/>
            <w:vAlign w:val="center"/>
          </w:tcPr>
          <w:p w14:paraId="375FF4AD">
            <w:pPr>
              <w:pStyle w:val="59"/>
              <w:ind w:firstLine="0" w:firstLineChars="0"/>
              <w:jc w:val="center"/>
            </w:pPr>
            <w:r>
              <w:rPr>
                <w:rFonts w:hint="eastAsia" w:ascii="Segoe UI Emoji" w:hAnsi="Segoe UI Emoji" w:cs="Segoe UI Emoji"/>
              </w:rPr>
              <w:t>○</w:t>
            </w:r>
          </w:p>
        </w:tc>
        <w:tc>
          <w:tcPr>
            <w:tcW w:w="605" w:type="dxa"/>
            <w:vAlign w:val="center"/>
          </w:tcPr>
          <w:p w14:paraId="45EA313D">
            <w:pPr>
              <w:pStyle w:val="59"/>
              <w:ind w:firstLine="0" w:firstLineChars="0"/>
              <w:jc w:val="center"/>
            </w:pPr>
            <w:r>
              <w:rPr>
                <w:rFonts w:hint="eastAsia" w:ascii="Segoe UI Emoji" w:hAnsi="Segoe UI Emoji" w:cs="Segoe UI Emoji"/>
              </w:rPr>
              <w:t>○</w:t>
            </w:r>
          </w:p>
        </w:tc>
        <w:tc>
          <w:tcPr>
            <w:tcW w:w="605" w:type="dxa"/>
            <w:vAlign w:val="center"/>
          </w:tcPr>
          <w:p w14:paraId="306A0724">
            <w:pPr>
              <w:pStyle w:val="59"/>
              <w:ind w:firstLine="0" w:firstLineChars="0"/>
              <w:jc w:val="center"/>
            </w:pPr>
            <w:r>
              <w:rPr>
                <w:rFonts w:hint="eastAsia" w:ascii="Segoe UI Emoji" w:hAnsi="Segoe UI Emoji" w:cs="Segoe UI Emoji"/>
              </w:rPr>
              <w:t>○</w:t>
            </w:r>
          </w:p>
        </w:tc>
        <w:tc>
          <w:tcPr>
            <w:tcW w:w="605" w:type="dxa"/>
            <w:vAlign w:val="center"/>
          </w:tcPr>
          <w:p w14:paraId="3F6E2590">
            <w:pPr>
              <w:pStyle w:val="59"/>
              <w:ind w:firstLine="0" w:firstLineChars="0"/>
              <w:jc w:val="center"/>
            </w:pPr>
            <w:r>
              <w:rPr>
                <w:rFonts w:hint="eastAsia" w:ascii="Segoe UI Emoji" w:hAnsi="Segoe UI Emoji" w:cs="Segoe UI Emoji"/>
              </w:rPr>
              <w:t>○</w:t>
            </w:r>
          </w:p>
        </w:tc>
        <w:tc>
          <w:tcPr>
            <w:tcW w:w="605" w:type="dxa"/>
            <w:vAlign w:val="center"/>
          </w:tcPr>
          <w:p w14:paraId="62601B99">
            <w:pPr>
              <w:pStyle w:val="59"/>
              <w:ind w:firstLine="0" w:firstLineChars="0"/>
              <w:jc w:val="center"/>
            </w:pPr>
            <w:r>
              <w:rPr>
                <w:rFonts w:hint="eastAsia" w:ascii="Segoe UI Emoji" w:hAnsi="Segoe UI Emoji" w:cs="Segoe UI Emoji"/>
              </w:rPr>
              <w:t>○</w:t>
            </w:r>
          </w:p>
        </w:tc>
        <w:tc>
          <w:tcPr>
            <w:tcW w:w="605" w:type="dxa"/>
            <w:vAlign w:val="center"/>
          </w:tcPr>
          <w:p w14:paraId="36652AD1">
            <w:pPr>
              <w:pStyle w:val="59"/>
              <w:ind w:firstLine="0" w:firstLineChars="0"/>
              <w:jc w:val="center"/>
            </w:pPr>
            <w:r>
              <w:rPr>
                <w:rFonts w:hint="eastAsia" w:ascii="Segoe UI Emoji" w:hAnsi="Segoe UI Emoji" w:cs="Segoe UI Emoji"/>
              </w:rPr>
              <w:t>○</w:t>
            </w:r>
          </w:p>
        </w:tc>
        <w:tc>
          <w:tcPr>
            <w:tcW w:w="605" w:type="dxa"/>
            <w:vAlign w:val="center"/>
          </w:tcPr>
          <w:p w14:paraId="276DBFBD">
            <w:pPr>
              <w:pStyle w:val="59"/>
              <w:ind w:firstLine="0" w:firstLineChars="0"/>
              <w:jc w:val="center"/>
            </w:pPr>
            <w:r>
              <w:rPr>
                <w:rFonts w:hint="eastAsia" w:ascii="Segoe UI Emoji" w:hAnsi="Segoe UI Emoji" w:cs="Segoe UI Emoji"/>
              </w:rPr>
              <w:t>○</w:t>
            </w:r>
          </w:p>
        </w:tc>
      </w:tr>
      <w:tr w14:paraId="22BABD7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10" w:hRule="atLeast"/>
          <w:jc w:val="center"/>
        </w:trPr>
        <w:tc>
          <w:tcPr>
            <w:tcW w:w="605" w:type="dxa"/>
            <w:vAlign w:val="center"/>
          </w:tcPr>
          <w:p w14:paraId="5B03F451">
            <w:pPr>
              <w:pStyle w:val="59"/>
              <w:ind w:firstLine="0" w:firstLineChars="0"/>
              <w:jc w:val="center"/>
            </w:pPr>
            <w:r>
              <w:rPr>
                <w:rFonts w:hint="eastAsia" w:ascii="Segoe UI Emoji" w:hAnsi="Segoe UI Emoji" w:cs="Segoe UI Emoji"/>
              </w:rPr>
              <w:t>○</w:t>
            </w:r>
          </w:p>
        </w:tc>
        <w:tc>
          <w:tcPr>
            <w:tcW w:w="605" w:type="dxa"/>
            <w:vAlign w:val="center"/>
          </w:tcPr>
          <w:p w14:paraId="0C525AD7">
            <w:pPr>
              <w:pStyle w:val="59"/>
              <w:ind w:firstLine="0" w:firstLineChars="0"/>
              <w:jc w:val="center"/>
            </w:pPr>
            <w:r>
              <w:rPr>
                <w:rFonts w:hint="eastAsia" w:ascii="Segoe UI Emoji" w:hAnsi="Segoe UI Emoji" w:cs="Segoe UI Emoji"/>
              </w:rPr>
              <w:t>○</w:t>
            </w:r>
          </w:p>
        </w:tc>
        <w:tc>
          <w:tcPr>
            <w:tcW w:w="605" w:type="dxa"/>
            <w:vAlign w:val="center"/>
          </w:tcPr>
          <w:p w14:paraId="05199A6E">
            <w:pPr>
              <w:pStyle w:val="59"/>
              <w:ind w:firstLine="0" w:firstLineChars="0"/>
              <w:jc w:val="center"/>
            </w:pPr>
            <w:r>
              <w:rPr>
                <w:rFonts w:hint="eastAsia" w:ascii="Segoe UI Emoji" w:hAnsi="Segoe UI Emoji" w:cs="Segoe UI Emoji"/>
              </w:rPr>
              <w:t>○</w:t>
            </w:r>
          </w:p>
        </w:tc>
        <w:tc>
          <w:tcPr>
            <w:tcW w:w="605" w:type="dxa"/>
            <w:vAlign w:val="center"/>
          </w:tcPr>
          <w:p w14:paraId="0D1EF2C2">
            <w:pPr>
              <w:pStyle w:val="59"/>
              <w:ind w:firstLine="0" w:firstLineChars="0"/>
              <w:jc w:val="center"/>
            </w:pPr>
            <w:r>
              <w:rPr>
                <w:rFonts w:hint="eastAsia" w:ascii="Segoe UI Emoji" w:hAnsi="Segoe UI Emoji" w:cs="Segoe UI Emoji"/>
              </w:rPr>
              <w:t>○</w:t>
            </w:r>
          </w:p>
        </w:tc>
        <w:tc>
          <w:tcPr>
            <w:tcW w:w="605" w:type="dxa"/>
            <w:vAlign w:val="center"/>
          </w:tcPr>
          <w:p w14:paraId="4F56D004">
            <w:pPr>
              <w:pStyle w:val="59"/>
              <w:ind w:firstLine="0" w:firstLineChars="0"/>
              <w:jc w:val="center"/>
            </w:pPr>
            <w:r>
              <w:rPr>
                <w:rFonts w:hint="eastAsia" w:ascii="Segoe UI Emoji" w:hAnsi="Segoe UI Emoji" w:cs="Segoe UI Emoji"/>
              </w:rPr>
              <w:t>○</w:t>
            </w:r>
          </w:p>
        </w:tc>
        <w:tc>
          <w:tcPr>
            <w:tcW w:w="605" w:type="dxa"/>
            <w:vAlign w:val="center"/>
          </w:tcPr>
          <w:p w14:paraId="46467C4C">
            <w:pPr>
              <w:pStyle w:val="59"/>
              <w:ind w:firstLine="0" w:firstLineChars="0"/>
              <w:jc w:val="center"/>
            </w:pPr>
            <w:r>
              <w:rPr>
                <w:rFonts w:hint="eastAsia" w:ascii="Segoe UI Emoji" w:hAnsi="Segoe UI Emoji" w:cs="Segoe UI Emoji"/>
              </w:rPr>
              <w:t>○</w:t>
            </w:r>
          </w:p>
        </w:tc>
        <w:tc>
          <w:tcPr>
            <w:tcW w:w="605" w:type="dxa"/>
            <w:vAlign w:val="center"/>
          </w:tcPr>
          <w:p w14:paraId="1F4FD929">
            <w:pPr>
              <w:pStyle w:val="59"/>
              <w:ind w:firstLine="0" w:firstLineChars="0"/>
              <w:jc w:val="center"/>
            </w:pPr>
            <w:r>
              <w:rPr>
                <w:rFonts w:hint="eastAsia" w:ascii="Segoe UI Emoji" w:hAnsi="Segoe UI Emoji" w:cs="Segoe UI Emoji"/>
              </w:rPr>
              <w:t>○</w:t>
            </w:r>
          </w:p>
        </w:tc>
      </w:tr>
    </w:tbl>
    <w:p w14:paraId="5F79859D">
      <w:pPr>
        <w:pStyle w:val="59"/>
        <w:ind w:firstLine="420"/>
        <w:rPr>
          <w:rFonts w:ascii="Times New Roman"/>
        </w:rPr>
      </w:pPr>
      <w:r>
        <w:rPr>
          <w:rFonts w:hint="eastAsia" w:ascii="Times New Roman"/>
        </w:rPr>
        <w:t>说明：</w:t>
      </w:r>
    </w:p>
    <w:p w14:paraId="5F944E47">
      <w:pPr>
        <w:pStyle w:val="59"/>
        <w:ind w:firstLine="360"/>
        <w:rPr>
          <w:rFonts w:hint="eastAsia" w:hAnsi="宋体" w:cs="宋体"/>
          <w:sz w:val="18"/>
          <w:szCs w:val="18"/>
        </w:rPr>
      </w:pPr>
      <w:r>
        <w:rPr>
          <w:rFonts w:hint="eastAsia" w:hAnsi="宋体" w:cs="宋体"/>
          <w:sz w:val="18"/>
          <w:szCs w:val="18"/>
        </w:rPr>
        <w:t>○——测量点。</w:t>
      </w:r>
    </w:p>
    <w:p w14:paraId="43F8BD4C">
      <w:pPr>
        <w:pStyle w:val="86"/>
        <w:numPr>
          <w:ilvl w:val="1"/>
          <w:numId w:val="0"/>
        </w:numPr>
        <w:spacing w:before="120" w:after="120"/>
      </w:pPr>
      <w:r>
        <w:rPr>
          <w:rFonts w:hint="eastAsia"/>
        </w:rPr>
        <w:t>图B.1 教室课桌面网格中心布点示意图</w:t>
      </w:r>
    </w:p>
    <w:p w14:paraId="328D0ADA">
      <w:pPr>
        <w:pStyle w:val="81"/>
        <w:spacing w:before="120" w:after="120"/>
      </w:pPr>
      <w:bookmarkStart w:id="214" w:name="_Toc11165"/>
      <w:r>
        <w:rPr>
          <w:rFonts w:hint="eastAsia"/>
        </w:rPr>
        <w:t>眼部垂直照度</w:t>
      </w:r>
      <w:bookmarkEnd w:id="214"/>
    </w:p>
    <w:p w14:paraId="6D189817">
      <w:pPr>
        <w:pStyle w:val="59"/>
        <w:ind w:firstLine="420"/>
        <w:rPr>
          <w:rFonts w:ascii="Times New Roman"/>
        </w:rPr>
      </w:pPr>
      <w:r>
        <w:rPr>
          <w:rFonts w:hint="eastAsia" w:ascii="Times New Roman"/>
        </w:rPr>
        <w:t>按照GB/T 5700的要求，中小学校教室眼部垂直照度按中心布点法进行测量点的布置，测点布置方法与水平照度相同，如图B.1所示，应满足下列要求:</w:t>
      </w:r>
    </w:p>
    <w:p w14:paraId="223D32ED">
      <w:pPr>
        <w:pStyle w:val="59"/>
        <w:ind w:firstLine="420"/>
        <w:rPr>
          <w:rFonts w:ascii="Times New Roman"/>
        </w:rPr>
      </w:pPr>
      <w:r>
        <w:rPr>
          <w:rFonts w:hint="eastAsia" w:ascii="Times New Roman"/>
        </w:rPr>
        <w:t>测试高度选取坐姿视线高度1.2 m，仅测量平行于教室黑板面法线、并朝向教室黑板面方向处的眼部垂直照度（即垂直于书写板）。</w:t>
      </w:r>
    </w:p>
    <w:p w14:paraId="1317DC21">
      <w:pPr>
        <w:pStyle w:val="81"/>
        <w:spacing w:before="120" w:after="120"/>
      </w:pPr>
      <w:bookmarkStart w:id="215" w:name="_Toc27143"/>
      <w:r>
        <w:rPr>
          <w:rFonts w:hint="eastAsia"/>
        </w:rPr>
        <w:t>教室黑板面照度测点布置</w:t>
      </w:r>
      <w:bookmarkEnd w:id="215"/>
    </w:p>
    <w:p w14:paraId="6672FF49">
      <w:pPr>
        <w:pStyle w:val="59"/>
        <w:ind w:firstLine="420"/>
        <w:rPr>
          <w:rFonts w:ascii="Times New Roman"/>
        </w:rPr>
      </w:pPr>
      <w:r>
        <w:rPr>
          <w:rFonts w:hint="eastAsia" w:ascii="Times New Roman"/>
        </w:rPr>
        <w:t>按照GB/T 5700的要求，教室黑板照度按中心布点法布置测量点，应满足下列要求：</w:t>
      </w:r>
    </w:p>
    <w:p w14:paraId="20B90DA6">
      <w:pPr>
        <w:pStyle w:val="59"/>
        <w:ind w:firstLine="420"/>
        <w:rPr>
          <w:rFonts w:ascii="Times New Roman"/>
        </w:rPr>
      </w:pPr>
      <w:r>
        <w:rPr>
          <w:rFonts w:hint="eastAsia" w:ascii="Times New Roman"/>
        </w:rPr>
        <w:t>以教室黑板规格长4 m，宽1.20 m为参考平面。单位测试面积0.5 m×0.5 m，共2×8个测量点，取网格中心位置为测量点，如图B.2 所示；其他教室黑板规格可根据实际情况依据中心布点法参考标准黑板规格布置测量点。</w:t>
      </w:r>
    </w:p>
    <w:p w14:paraId="51D9F130">
      <w:pPr>
        <w:pStyle w:val="59"/>
        <w:ind w:firstLine="420"/>
      </w:pPr>
      <w:r>
        <w:rPr>
          <w:rFonts w:hint="eastAsia" w:ascii="Times New Roman"/>
        </w:rPr>
        <w:t>当黑板区域有电子白板（荧幕、电视）等多媒体显示终端时，参考平面不含多媒体显示终端所占面积。</w:t>
      </w:r>
    </w:p>
    <w:tbl>
      <w:tblPr>
        <w:tblStyle w:val="2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605"/>
        <w:gridCol w:w="605"/>
        <w:gridCol w:w="605"/>
        <w:gridCol w:w="605"/>
        <w:gridCol w:w="605"/>
        <w:gridCol w:w="605"/>
        <w:gridCol w:w="605"/>
      </w:tblGrid>
      <w:tr w14:paraId="2C05BFF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10" w:hRule="atLeast"/>
          <w:jc w:val="center"/>
        </w:trPr>
        <w:tc>
          <w:tcPr>
            <w:tcW w:w="605" w:type="dxa"/>
            <w:vAlign w:val="center"/>
          </w:tcPr>
          <w:p w14:paraId="13C0C616">
            <w:pPr>
              <w:pStyle w:val="59"/>
              <w:ind w:firstLine="0" w:firstLineChars="0"/>
              <w:jc w:val="center"/>
            </w:pPr>
            <w:r>
              <w:rPr>
                <w:rFonts w:hint="eastAsia" w:ascii="Segoe UI Emoji" w:hAnsi="Segoe UI Emoji" w:cs="Segoe UI Emoji"/>
              </w:rPr>
              <w:t>○</w:t>
            </w:r>
          </w:p>
        </w:tc>
        <w:tc>
          <w:tcPr>
            <w:tcW w:w="605" w:type="dxa"/>
            <w:vAlign w:val="center"/>
          </w:tcPr>
          <w:p w14:paraId="4C8AE2E3">
            <w:pPr>
              <w:pStyle w:val="59"/>
              <w:ind w:firstLine="0" w:firstLineChars="0"/>
              <w:jc w:val="center"/>
            </w:pPr>
            <w:r>
              <w:rPr>
                <w:rFonts w:hint="eastAsia" w:ascii="Segoe UI Emoji" w:hAnsi="Segoe UI Emoji" w:cs="Segoe UI Emoji"/>
              </w:rPr>
              <w:t>○</w:t>
            </w:r>
          </w:p>
        </w:tc>
        <w:tc>
          <w:tcPr>
            <w:tcW w:w="605" w:type="dxa"/>
            <w:vAlign w:val="center"/>
          </w:tcPr>
          <w:p w14:paraId="4B187968">
            <w:pPr>
              <w:pStyle w:val="59"/>
              <w:ind w:firstLine="0" w:firstLineChars="0"/>
              <w:jc w:val="center"/>
            </w:pPr>
            <w:r>
              <w:rPr>
                <w:rFonts w:hint="eastAsia" w:ascii="Segoe UI Emoji" w:hAnsi="Segoe UI Emoji" w:cs="Segoe UI Emoji"/>
              </w:rPr>
              <w:t>○</w:t>
            </w:r>
          </w:p>
        </w:tc>
        <w:tc>
          <w:tcPr>
            <w:tcW w:w="605" w:type="dxa"/>
            <w:vAlign w:val="center"/>
          </w:tcPr>
          <w:p w14:paraId="39B44D25">
            <w:pPr>
              <w:pStyle w:val="59"/>
              <w:ind w:firstLine="0" w:firstLineChars="0"/>
              <w:jc w:val="center"/>
            </w:pPr>
            <w:r>
              <w:rPr>
                <w:rFonts w:hint="eastAsia" w:ascii="Segoe UI Emoji" w:hAnsi="Segoe UI Emoji" w:cs="Segoe UI Emoji"/>
              </w:rPr>
              <w:t>○</w:t>
            </w:r>
          </w:p>
        </w:tc>
        <w:tc>
          <w:tcPr>
            <w:tcW w:w="605" w:type="dxa"/>
            <w:vAlign w:val="center"/>
          </w:tcPr>
          <w:p w14:paraId="48CE01D3">
            <w:pPr>
              <w:pStyle w:val="59"/>
              <w:ind w:firstLine="0" w:firstLineChars="0"/>
              <w:jc w:val="center"/>
            </w:pPr>
            <w:r>
              <w:rPr>
                <w:rFonts w:hint="eastAsia" w:ascii="Segoe UI Emoji" w:hAnsi="Segoe UI Emoji" w:cs="Segoe UI Emoji"/>
              </w:rPr>
              <w:t>○</w:t>
            </w:r>
          </w:p>
        </w:tc>
        <w:tc>
          <w:tcPr>
            <w:tcW w:w="605" w:type="dxa"/>
            <w:vAlign w:val="center"/>
          </w:tcPr>
          <w:p w14:paraId="78E8A41C">
            <w:pPr>
              <w:pStyle w:val="59"/>
              <w:ind w:firstLine="0" w:firstLineChars="0"/>
              <w:jc w:val="center"/>
            </w:pPr>
            <w:r>
              <w:rPr>
                <w:rFonts w:hint="eastAsia" w:ascii="Segoe UI Emoji" w:hAnsi="Segoe UI Emoji" w:cs="Segoe UI Emoji"/>
              </w:rPr>
              <w:t>○</w:t>
            </w:r>
          </w:p>
        </w:tc>
        <w:tc>
          <w:tcPr>
            <w:tcW w:w="605" w:type="dxa"/>
            <w:vAlign w:val="center"/>
          </w:tcPr>
          <w:p w14:paraId="1F2B72B1">
            <w:pPr>
              <w:pStyle w:val="59"/>
              <w:ind w:firstLine="0" w:firstLineChars="0"/>
              <w:jc w:val="center"/>
            </w:pPr>
            <w:r>
              <w:rPr>
                <w:rFonts w:hint="eastAsia" w:ascii="Segoe UI Emoji" w:hAnsi="Segoe UI Emoji" w:cs="Segoe UI Emoji"/>
              </w:rPr>
              <w:t>○</w:t>
            </w:r>
          </w:p>
        </w:tc>
      </w:tr>
      <w:tr w14:paraId="5407E75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10" w:hRule="atLeast"/>
          <w:jc w:val="center"/>
        </w:trPr>
        <w:tc>
          <w:tcPr>
            <w:tcW w:w="605" w:type="dxa"/>
            <w:vAlign w:val="center"/>
          </w:tcPr>
          <w:p w14:paraId="21743E8E">
            <w:pPr>
              <w:pStyle w:val="59"/>
              <w:ind w:firstLine="0" w:firstLineChars="0"/>
              <w:jc w:val="center"/>
            </w:pPr>
            <w:r>
              <w:rPr>
                <w:rFonts w:hint="eastAsia" w:ascii="Segoe UI Emoji" w:hAnsi="Segoe UI Emoji" w:cs="Segoe UI Emoji"/>
              </w:rPr>
              <w:t>○</w:t>
            </w:r>
          </w:p>
        </w:tc>
        <w:tc>
          <w:tcPr>
            <w:tcW w:w="605" w:type="dxa"/>
            <w:vAlign w:val="center"/>
          </w:tcPr>
          <w:p w14:paraId="161B9323">
            <w:pPr>
              <w:pStyle w:val="59"/>
              <w:ind w:firstLine="0" w:firstLineChars="0"/>
              <w:jc w:val="center"/>
            </w:pPr>
            <w:r>
              <w:rPr>
                <w:rFonts w:hint="eastAsia" w:ascii="Segoe UI Emoji" w:hAnsi="Segoe UI Emoji" w:cs="Segoe UI Emoji"/>
              </w:rPr>
              <w:t>○</w:t>
            </w:r>
          </w:p>
        </w:tc>
        <w:tc>
          <w:tcPr>
            <w:tcW w:w="605" w:type="dxa"/>
            <w:vAlign w:val="center"/>
          </w:tcPr>
          <w:p w14:paraId="4B34A3AB">
            <w:pPr>
              <w:pStyle w:val="59"/>
              <w:ind w:firstLine="0" w:firstLineChars="0"/>
              <w:jc w:val="center"/>
            </w:pPr>
            <w:r>
              <w:rPr>
                <w:rFonts w:hint="eastAsia" w:ascii="Segoe UI Emoji" w:hAnsi="Segoe UI Emoji" w:cs="Segoe UI Emoji"/>
              </w:rPr>
              <w:t>○</w:t>
            </w:r>
          </w:p>
        </w:tc>
        <w:tc>
          <w:tcPr>
            <w:tcW w:w="605" w:type="dxa"/>
            <w:vAlign w:val="center"/>
          </w:tcPr>
          <w:p w14:paraId="683FB0BA">
            <w:pPr>
              <w:pStyle w:val="59"/>
              <w:ind w:firstLine="0" w:firstLineChars="0"/>
              <w:jc w:val="center"/>
            </w:pPr>
            <w:r>
              <w:rPr>
                <w:rFonts w:hint="eastAsia" w:ascii="Segoe UI Emoji" w:hAnsi="Segoe UI Emoji" w:cs="Segoe UI Emoji"/>
              </w:rPr>
              <w:t>○</w:t>
            </w:r>
          </w:p>
        </w:tc>
        <w:tc>
          <w:tcPr>
            <w:tcW w:w="605" w:type="dxa"/>
            <w:vAlign w:val="center"/>
          </w:tcPr>
          <w:p w14:paraId="54BD7A74">
            <w:pPr>
              <w:pStyle w:val="59"/>
              <w:ind w:firstLine="0" w:firstLineChars="0"/>
              <w:jc w:val="center"/>
            </w:pPr>
            <w:r>
              <w:rPr>
                <w:rFonts w:hint="eastAsia" w:ascii="Segoe UI Emoji" w:hAnsi="Segoe UI Emoji" w:cs="Segoe UI Emoji"/>
              </w:rPr>
              <w:t>○</w:t>
            </w:r>
          </w:p>
        </w:tc>
        <w:tc>
          <w:tcPr>
            <w:tcW w:w="605" w:type="dxa"/>
            <w:vAlign w:val="center"/>
          </w:tcPr>
          <w:p w14:paraId="4C7006D7">
            <w:pPr>
              <w:pStyle w:val="59"/>
              <w:ind w:firstLine="0" w:firstLineChars="0"/>
              <w:jc w:val="center"/>
            </w:pPr>
            <w:r>
              <w:rPr>
                <w:rFonts w:hint="eastAsia" w:ascii="Segoe UI Emoji" w:hAnsi="Segoe UI Emoji" w:cs="Segoe UI Emoji"/>
              </w:rPr>
              <w:t>○</w:t>
            </w:r>
          </w:p>
        </w:tc>
        <w:tc>
          <w:tcPr>
            <w:tcW w:w="605" w:type="dxa"/>
            <w:vAlign w:val="center"/>
          </w:tcPr>
          <w:p w14:paraId="78760095">
            <w:pPr>
              <w:pStyle w:val="59"/>
              <w:ind w:firstLine="0" w:firstLineChars="0"/>
              <w:jc w:val="center"/>
            </w:pPr>
            <w:r>
              <w:rPr>
                <w:rFonts w:hint="eastAsia" w:ascii="Segoe UI Emoji" w:hAnsi="Segoe UI Emoji" w:cs="Segoe UI Emoji"/>
              </w:rPr>
              <w:t>○</w:t>
            </w:r>
          </w:p>
        </w:tc>
      </w:tr>
    </w:tbl>
    <w:p w14:paraId="1464D0CF">
      <w:pPr>
        <w:pStyle w:val="59"/>
        <w:ind w:firstLine="420"/>
        <w:rPr>
          <w:rFonts w:hint="eastAsia" w:hAnsi="宋体" w:cs="黑体"/>
        </w:rPr>
      </w:pPr>
      <w:r>
        <w:rPr>
          <w:rFonts w:hint="eastAsia" w:hAnsi="宋体" w:cs="黑体"/>
        </w:rPr>
        <w:t>说明：</w:t>
      </w:r>
    </w:p>
    <w:p w14:paraId="08343003">
      <w:pPr>
        <w:pStyle w:val="59"/>
        <w:ind w:firstLine="360"/>
        <w:rPr>
          <w:rFonts w:hint="eastAsia" w:hAnsi="宋体" w:cs="宋体"/>
          <w:sz w:val="18"/>
          <w:szCs w:val="18"/>
        </w:rPr>
      </w:pPr>
      <w:r>
        <w:rPr>
          <w:rFonts w:hint="eastAsia" w:hAnsi="宋体" w:cs="宋体"/>
          <w:sz w:val="18"/>
          <w:szCs w:val="18"/>
        </w:rPr>
        <w:t>○——测量点。</w:t>
      </w:r>
    </w:p>
    <w:p w14:paraId="67BF7366">
      <w:pPr>
        <w:pStyle w:val="86"/>
        <w:numPr>
          <w:ilvl w:val="1"/>
          <w:numId w:val="0"/>
        </w:numPr>
        <w:spacing w:before="120" w:after="120"/>
      </w:pPr>
      <w:r>
        <w:rPr>
          <w:rFonts w:hint="eastAsia"/>
        </w:rPr>
        <w:t>图B.2 黑板网格中心布点示意图（续）</w:t>
      </w:r>
    </w:p>
    <w:p w14:paraId="4FFF582D">
      <w:pPr>
        <w:pStyle w:val="81"/>
        <w:spacing w:before="120" w:after="120"/>
      </w:pPr>
      <w:bookmarkStart w:id="216" w:name="_Toc5259"/>
      <w:r>
        <w:rPr>
          <w:rFonts w:hint="eastAsia"/>
        </w:rPr>
        <w:t>平均照度的测量和计算</w:t>
      </w:r>
      <w:bookmarkEnd w:id="216"/>
    </w:p>
    <w:p w14:paraId="2D13DC75">
      <w:pPr>
        <w:pStyle w:val="59"/>
        <w:ind w:firstLine="420"/>
        <w:rPr>
          <w:rFonts w:ascii="Times New Roman"/>
        </w:rPr>
      </w:pPr>
      <w:r>
        <w:rPr>
          <w:rFonts w:ascii="Times New Roman"/>
        </w:rPr>
        <w:t xml:space="preserve">按照GB/T </w:t>
      </w:r>
      <w:bookmarkStart w:id="217" w:name="OLE_LINK4"/>
      <w:r>
        <w:rPr>
          <w:rFonts w:ascii="Times New Roman"/>
        </w:rPr>
        <w:t>5700</w:t>
      </w:r>
      <w:bookmarkEnd w:id="217"/>
      <w:r>
        <w:rPr>
          <w:rFonts w:ascii="Times New Roman"/>
        </w:rPr>
        <w:t>的要求，教室课桌面、黑板平均照度测量要求：</w:t>
      </w:r>
    </w:p>
    <w:p w14:paraId="2A4DD7D7">
      <w:pPr>
        <w:pStyle w:val="59"/>
        <w:ind w:firstLine="420"/>
      </w:pPr>
      <w:r>
        <w:rPr>
          <w:rFonts w:ascii="Times New Roman"/>
        </w:rPr>
        <w:t>根据图B.1和图B.2所述的测点布</w:t>
      </w:r>
      <w:r>
        <w:rPr>
          <w:rFonts w:hint="eastAsia"/>
        </w:rPr>
        <w:t>置，使用照度仪或便携式现场光谱光色测试仪逐点测量教室课桌面、黑板面照度并记录为</w:t>
      </w:r>
      <w:r>
        <w:rPr>
          <w:rFonts w:hint="eastAsia"/>
          <w:i/>
        </w:rPr>
        <w:t>E</w:t>
      </w:r>
      <w:r>
        <w:rPr>
          <w:rFonts w:hint="eastAsia"/>
          <w:iCs/>
          <w:vertAlign w:val="subscript"/>
        </w:rPr>
        <w:t>i</w:t>
      </w:r>
      <w:r>
        <w:rPr>
          <w:rFonts w:hint="eastAsia"/>
        </w:rPr>
        <w:t>（</w:t>
      </w:r>
      <w:r>
        <w:rPr>
          <w:rFonts w:ascii="Times New Roman"/>
          <w:iCs/>
        </w:rPr>
        <w:t>i</w:t>
      </w:r>
      <w:r>
        <w:rPr>
          <w:rFonts w:ascii="Times New Roman"/>
        </w:rPr>
        <w:t>=1，2，…，</w:t>
      </w:r>
      <w:r>
        <w:rPr>
          <w:rFonts w:ascii="Times New Roman"/>
          <w:iCs/>
        </w:rPr>
        <w:t>n</w:t>
      </w:r>
      <w:r>
        <w:rPr>
          <w:rFonts w:hint="eastAsia"/>
        </w:rPr>
        <w:t>）。</w:t>
      </w:r>
    </w:p>
    <w:p w14:paraId="616A4631">
      <w:pPr>
        <w:pStyle w:val="59"/>
        <w:ind w:firstLine="420"/>
      </w:pPr>
      <w:r>
        <w:rPr>
          <w:rFonts w:ascii="Times New Roman"/>
        </w:rPr>
        <w:t>测量时，照度计先用大量程档数，然后根据指示值的大小逐渐找到合适的档数，原则上不允许指示值在最大量程1/10范围内读数。照度示值稳定后再读数。要防止测试人员或其他因素对接收器的影响，数字式照度计显示的读数，最后一位有时</w:t>
      </w:r>
      <w:r>
        <w:rPr>
          <w:rFonts w:hint="eastAsia"/>
        </w:rPr>
        <w:t>不稳定，应该记录出现次数较多的数字。</w:t>
      </w:r>
    </w:p>
    <w:p w14:paraId="6E187117">
      <w:pPr>
        <w:pStyle w:val="59"/>
        <w:ind w:firstLine="420"/>
        <w:rPr>
          <w:szCs w:val="21"/>
        </w:rPr>
      </w:pPr>
      <w:r>
        <w:rPr>
          <w:rFonts w:hint="eastAsia"/>
        </w:rPr>
        <w:t>根据B.1公式计算平均照度</w:t>
      </w:r>
      <w:r>
        <w:rPr>
          <w:rFonts w:hint="eastAsia"/>
          <w:i/>
        </w:rPr>
        <w:t>E</w:t>
      </w:r>
      <w:r>
        <w:rPr>
          <w:rFonts w:hint="eastAsia"/>
          <w:iCs/>
          <w:vertAlign w:val="subscript"/>
        </w:rPr>
        <w:t xml:space="preserve">av </w:t>
      </w:r>
      <w:r>
        <w:rPr>
          <w:rFonts w:hint="eastAsia"/>
        </w:rPr>
        <w:t>，</w:t>
      </w:r>
      <w:r>
        <w:rPr>
          <w:rFonts w:hint="eastAsia"/>
          <w:szCs w:val="21"/>
        </w:rPr>
        <w:t>维</w:t>
      </w:r>
      <w:r>
        <w:rPr>
          <w:rFonts w:ascii="Times New Roman"/>
          <w:szCs w:val="21"/>
        </w:rPr>
        <w:t>护系数取0.8，维持平均照度=初始平</w:t>
      </w:r>
      <w:r>
        <w:rPr>
          <w:rFonts w:hint="eastAsia"/>
          <w:szCs w:val="21"/>
        </w:rPr>
        <w:t>均照度</w:t>
      </w:r>
      <w:r>
        <w:rPr>
          <w:rFonts w:hint="eastAsia" w:hAnsi="宋体" w:cs="宋体"/>
          <w:i/>
          <w:szCs w:val="21"/>
        </w:rPr>
        <w:t>E</w:t>
      </w:r>
      <w:r>
        <w:rPr>
          <w:rFonts w:hint="eastAsia" w:hAnsi="宋体" w:cs="宋体"/>
          <w:iCs/>
          <w:szCs w:val="21"/>
          <w:vertAlign w:val="subscript"/>
        </w:rPr>
        <w:t>av</w:t>
      </w:r>
      <w:r>
        <w:rPr>
          <w:rFonts w:ascii="Times New Roman"/>
          <w:szCs w:val="21"/>
        </w:rPr>
        <w:t>×0.8。</w:t>
      </w:r>
    </w:p>
    <w:p w14:paraId="671666E8">
      <w:pPr>
        <w:pStyle w:val="116"/>
        <w:rPr>
          <w:rFonts w:hint="eastAsia"/>
        </w:rPr>
      </w:pPr>
      <w:r>
        <w:tab/>
      </w:r>
      <w:r>
        <w:rPr>
          <w:rFonts w:hint="eastAsia" w:hAnsi="Cambria Math" w:cs="仿宋"/>
          <w:position w:val="-24"/>
          <w:sz w:val="28"/>
          <w:szCs w:val="28"/>
        </w:rPr>
        <w:object>
          <v:shape id="_x0000_i1027" o:spt="75" type="#_x0000_t75" style="height:36.6pt;width:68.4pt;" o:ole="t" filled="f" o:preferrelative="t" stroked="f" coordsize="21600,21600">
            <v:path/>
            <v:fill on="f" focussize="0,0"/>
            <v:stroke on="f" joinstyle="miter"/>
            <v:imagedata r:id="rId31" o:title=""/>
            <o:lock v:ext="edit" aspectratio="t"/>
            <w10:wrap type="none"/>
            <w10:anchorlock/>
          </v:shape>
          <o:OLEObject Type="Embed" ProgID="Equation.3" ShapeID="_x0000_i1027" DrawAspect="Content" ObjectID="_1468075727" r:id="rId30">
            <o:LockedField>false</o:LockedField>
          </o:OLEObject>
        </w:object>
      </w:r>
      <w:r>
        <w:rPr>
          <w:rFonts w:ascii="微软雅黑" w:hAnsi="微软雅黑" w:eastAsia="微软雅黑"/>
        </w:rPr>
        <w:tab/>
      </w:r>
      <w:r>
        <w:rPr>
          <w:rFonts w:ascii="Times New Roman" w:hAnsi="Times New Roman"/>
        </w:rPr>
        <w:t>(B.</w:t>
      </w:r>
      <w:r>
        <w:rPr>
          <w:rFonts w:ascii="Times New Roman" w:hAnsi="Times New Roman"/>
        </w:rPr>
        <w:fldChar w:fldCharType="begin"/>
      </w:r>
      <w:r>
        <w:rPr>
          <w:rFonts w:ascii="Times New Roman" w:hAnsi="Times New Roman"/>
        </w:rPr>
        <w:instrText xml:space="preserve"> seq fulu_equation_132767673758578716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t>)</w:t>
      </w:r>
    </w:p>
    <w:p w14:paraId="310C2D84">
      <w:pPr>
        <w:pStyle w:val="58"/>
        <w:ind w:firstLine="420"/>
      </w:pPr>
      <w:r>
        <w:rPr>
          <w:rFonts w:hint="eastAsia"/>
        </w:rPr>
        <w:t>式中：</w:t>
      </w:r>
    </w:p>
    <w:p w14:paraId="55BBE37C">
      <w:pPr>
        <w:pStyle w:val="59"/>
        <w:ind w:firstLine="420"/>
      </w:pPr>
      <w:r>
        <w:rPr>
          <w:rFonts w:hint="eastAsia"/>
          <w:i/>
        </w:rPr>
        <w:t>E</w:t>
      </w:r>
      <w:r>
        <w:rPr>
          <w:rFonts w:hint="eastAsia"/>
          <w:iCs/>
          <w:vertAlign w:val="subscript"/>
        </w:rPr>
        <w:t>av</w:t>
      </w:r>
      <w:r>
        <w:rPr>
          <w:rFonts w:hint="eastAsia"/>
        </w:rPr>
        <w:t>——平均照度，单位为</w:t>
      </w:r>
      <w:r>
        <w:rPr>
          <w:rFonts w:ascii="Times New Roman"/>
        </w:rPr>
        <w:t>勒克斯（lx)</w:t>
      </w:r>
      <w:r>
        <w:rPr>
          <w:rFonts w:hint="eastAsia"/>
        </w:rPr>
        <w:t>；</w:t>
      </w:r>
    </w:p>
    <w:p w14:paraId="1BF8CF8B">
      <w:pPr>
        <w:pStyle w:val="59"/>
        <w:ind w:firstLine="420"/>
      </w:pPr>
      <w:r>
        <w:rPr>
          <w:rFonts w:hint="eastAsia"/>
          <w:i/>
        </w:rPr>
        <w:t>E</w:t>
      </w:r>
      <w:r>
        <w:rPr>
          <w:rFonts w:hint="eastAsia"/>
          <w:iCs/>
          <w:vertAlign w:val="subscript"/>
        </w:rPr>
        <w:t>i</w:t>
      </w:r>
      <w:r>
        <w:rPr>
          <w:rFonts w:hint="eastAsia"/>
        </w:rPr>
        <w:t>——测量点照度，单位为勒克</w:t>
      </w:r>
      <w:r>
        <w:rPr>
          <w:rFonts w:ascii="Times New Roman"/>
        </w:rPr>
        <w:t>斯（lx</w:t>
      </w:r>
      <w:r>
        <w:rPr>
          <w:rFonts w:hint="eastAsia"/>
        </w:rPr>
        <w:t>)</w:t>
      </w:r>
      <w:r>
        <w:t>；</w:t>
      </w:r>
    </w:p>
    <w:p w14:paraId="5A5DE376">
      <w:pPr>
        <w:pStyle w:val="59"/>
        <w:ind w:firstLine="420"/>
      </w:pPr>
      <w:r>
        <w:rPr>
          <w:rFonts w:ascii="Times New Roman"/>
          <w:i/>
        </w:rPr>
        <w:t>n</w:t>
      </w:r>
      <w:r>
        <w:rPr>
          <w:rFonts w:hint="eastAsia"/>
        </w:rPr>
        <w:t>——测量点数。</w:t>
      </w:r>
    </w:p>
    <w:p w14:paraId="0AD109EA">
      <w:pPr>
        <w:pStyle w:val="81"/>
        <w:spacing w:before="120" w:after="120"/>
      </w:pPr>
      <w:bookmarkStart w:id="218" w:name="_Toc9514"/>
      <w:r>
        <w:rPr>
          <w:rFonts w:hint="eastAsia"/>
        </w:rPr>
        <w:t>照度均匀度的测量和计算</w:t>
      </w:r>
      <w:bookmarkEnd w:id="218"/>
    </w:p>
    <w:p w14:paraId="195ED6C0">
      <w:pPr>
        <w:pStyle w:val="59"/>
        <w:ind w:firstLine="420"/>
      </w:pPr>
      <w:r>
        <w:rPr>
          <w:rFonts w:hint="eastAsia"/>
        </w:rPr>
        <w:t>教室课桌面、黑板照度均匀度测量要求：</w:t>
      </w:r>
    </w:p>
    <w:p w14:paraId="7D33B87D">
      <w:pPr>
        <w:pStyle w:val="59"/>
        <w:ind w:firstLine="420"/>
      </w:pPr>
      <w:r>
        <w:rPr>
          <w:rFonts w:ascii="Times New Roman"/>
        </w:rPr>
        <w:t>通过B.3所述的照度测量及计算结果，根据B.2公式</w:t>
      </w:r>
      <w:r>
        <w:rPr>
          <w:rFonts w:hint="eastAsia"/>
        </w:rPr>
        <w:t>计算照度均匀度</w:t>
      </w:r>
      <w:r>
        <w:rPr>
          <w:rFonts w:hint="eastAsia"/>
          <w:i/>
          <w:iCs/>
        </w:rPr>
        <w:t>U</w:t>
      </w:r>
      <w:r>
        <w:rPr>
          <w:rFonts w:hint="eastAsia"/>
          <w:i/>
          <w:iCs/>
          <w:vertAlign w:val="subscript"/>
        </w:rPr>
        <w:t>E</w:t>
      </w:r>
      <w:r>
        <w:t>。</w:t>
      </w:r>
    </w:p>
    <w:p w14:paraId="0A786E85">
      <w:pPr>
        <w:pStyle w:val="116"/>
        <w:rPr>
          <w:rFonts w:hint="eastAsia"/>
        </w:rPr>
      </w:pPr>
      <w:r>
        <w:tab/>
      </w:r>
      <w:r>
        <w:rPr>
          <w:rFonts w:hint="eastAsia" w:hAnsi="Cambria Math" w:cs="仿宋"/>
          <w:position w:val="-30"/>
          <w:sz w:val="28"/>
          <w:szCs w:val="28"/>
        </w:rPr>
        <w:object>
          <v:shape id="_x0000_i1028" o:spt="75" type="#_x0000_t75" style="height:33.6pt;width:71.4pt;" o:ole="t" filled="f" o:preferrelative="t" stroked="f" coordsize="21600,21600">
            <v:path/>
            <v:fill on="f" focussize="0,0"/>
            <v:stroke on="f" joinstyle="miter"/>
            <v:imagedata r:id="rId33" o:title=""/>
            <o:lock v:ext="edit" aspectratio="t"/>
            <w10:wrap type="none"/>
            <w10:anchorlock/>
          </v:shape>
          <o:OLEObject Type="Embed" ProgID="Equation.3" ShapeID="_x0000_i1028" DrawAspect="Content" ObjectID="_1468075728" r:id="rId32">
            <o:LockedField>false</o:LockedField>
          </o:OLEObject>
        </w:object>
      </w:r>
      <w:r>
        <w:rPr>
          <w:rFonts w:ascii="微软雅黑" w:hAnsi="微软雅黑" w:eastAsia="微软雅黑"/>
        </w:rPr>
        <w:tab/>
      </w:r>
      <w:r>
        <w:t>(</w:t>
      </w:r>
      <w:r>
        <w:rPr>
          <w:rFonts w:ascii="Times New Roman" w:hAnsi="Times New Roman"/>
        </w:rPr>
        <w:t>B.</w:t>
      </w:r>
      <w:r>
        <w:rPr>
          <w:rFonts w:ascii="Times New Roman" w:hAnsi="Times New Roman"/>
        </w:rPr>
        <w:fldChar w:fldCharType="begin"/>
      </w:r>
      <w:r>
        <w:rPr>
          <w:rFonts w:ascii="Times New Roman" w:hAnsi="Times New Roman"/>
        </w:rPr>
        <w:instrText xml:space="preserve">  seq fulu_equation_132767673758578716  </w:instrText>
      </w:r>
      <w:r>
        <w:rPr>
          <w:rFonts w:ascii="Times New Roman" w:hAnsi="Times New Roman"/>
        </w:rPr>
        <w:fldChar w:fldCharType="separate"/>
      </w:r>
      <w:r>
        <w:rPr>
          <w:rFonts w:ascii="Times New Roman" w:hAnsi="Times New Roman"/>
        </w:rPr>
        <w:t>2</w:t>
      </w:r>
      <w:r>
        <w:rPr>
          <w:rFonts w:ascii="Times New Roman" w:hAnsi="Times New Roman"/>
        </w:rPr>
        <w:fldChar w:fldCharType="end"/>
      </w:r>
      <w:r>
        <w:t>)</w:t>
      </w:r>
    </w:p>
    <w:p w14:paraId="076AF356">
      <w:pPr>
        <w:pStyle w:val="58"/>
        <w:ind w:firstLine="420"/>
      </w:pPr>
      <w:r>
        <w:rPr>
          <w:rFonts w:hint="eastAsia"/>
        </w:rPr>
        <w:t>式中：</w:t>
      </w:r>
    </w:p>
    <w:p w14:paraId="7394272D">
      <w:pPr>
        <w:pStyle w:val="59"/>
        <w:ind w:firstLine="420"/>
      </w:pPr>
      <w:r>
        <w:rPr>
          <w:rFonts w:hint="eastAsia"/>
          <w:i/>
        </w:rPr>
        <w:t>U</w:t>
      </w:r>
      <w:r>
        <w:rPr>
          <w:rFonts w:hint="eastAsia"/>
          <w:iCs/>
          <w:vertAlign w:val="subscript"/>
        </w:rPr>
        <w:t>E</w:t>
      </w:r>
      <w:r>
        <w:rPr>
          <w:rFonts w:hint="eastAsia"/>
        </w:rPr>
        <w:t>——照度均匀度。</w:t>
      </w:r>
    </w:p>
    <w:p w14:paraId="0B1E2EBD">
      <w:pPr>
        <w:pStyle w:val="81"/>
        <w:spacing w:before="120" w:after="120"/>
      </w:pPr>
      <w:bookmarkStart w:id="219" w:name="_Toc15994"/>
      <w:r>
        <w:rPr>
          <w:rFonts w:hint="eastAsia"/>
        </w:rPr>
        <w:t>照度功率密度的测量和计算</w:t>
      </w:r>
      <w:bookmarkEnd w:id="219"/>
    </w:p>
    <w:p w14:paraId="38D5CE3F">
      <w:pPr>
        <w:pStyle w:val="59"/>
        <w:ind w:firstLine="420"/>
      </w:pPr>
      <w:r>
        <w:rPr>
          <w:rFonts w:hint="eastAsia"/>
        </w:rPr>
        <w:t>进入教室现场使用电能功率测量仪对教室内所有教室灯具（黑板灯除外）的实际功耗进行测量并记录为</w:t>
      </w:r>
      <w:r>
        <w:rPr>
          <w:rFonts w:hint="eastAsia"/>
          <w:iCs/>
        </w:rPr>
        <w:t>P</w:t>
      </w:r>
      <w:r>
        <w:rPr>
          <w:rFonts w:hint="eastAsia"/>
          <w:iCs/>
          <w:vertAlign w:val="subscript"/>
        </w:rPr>
        <w:t>i</w:t>
      </w:r>
      <w:r>
        <w:rPr>
          <w:rFonts w:hint="eastAsia"/>
        </w:rPr>
        <w:t>（</w:t>
      </w:r>
      <w:r>
        <w:rPr>
          <w:rFonts w:ascii="Times New Roman"/>
          <w:iCs/>
        </w:rPr>
        <w:t>i</w:t>
      </w:r>
      <w:r>
        <w:rPr>
          <w:rFonts w:ascii="Times New Roman"/>
        </w:rPr>
        <w:t>=1，2，…，</w:t>
      </w:r>
      <w:r>
        <w:rPr>
          <w:rFonts w:ascii="Times New Roman"/>
          <w:iCs/>
        </w:rPr>
        <w:t>n</w:t>
      </w:r>
      <w:r>
        <w:rPr>
          <w:rFonts w:hint="eastAsia"/>
        </w:rPr>
        <w:t>），应在仪器稳定后再读数，最后一位有时不稳定，应该记录出现次数较多的数字。根据提供的平面图纸或现场丈量计算出教室实际面</w:t>
      </w:r>
      <w:r>
        <w:rPr>
          <w:rFonts w:ascii="Times New Roman"/>
        </w:rPr>
        <w:t>积</w:t>
      </w:r>
      <w:r>
        <w:rPr>
          <w:rFonts w:ascii="Times New Roman"/>
          <w:iCs/>
        </w:rPr>
        <w:t>S</w:t>
      </w:r>
      <w:r>
        <w:rPr>
          <w:rFonts w:ascii="Times New Roman"/>
        </w:rPr>
        <w:t>，并依据GB/T 5700要求，以及B.3公</w:t>
      </w:r>
      <w:r>
        <w:rPr>
          <w:rFonts w:hint="eastAsia"/>
        </w:rPr>
        <w:t>式计算出照明功率密度</w:t>
      </w:r>
      <w:r>
        <w:rPr>
          <w:rFonts w:hint="eastAsia"/>
          <w:i/>
          <w:iCs/>
        </w:rPr>
        <w:t>LPD</w:t>
      </w:r>
      <w:r>
        <w:rPr>
          <w:rFonts w:hint="eastAsia"/>
        </w:rPr>
        <w:t>：</w:t>
      </w:r>
    </w:p>
    <w:p w14:paraId="737019F2">
      <w:pPr>
        <w:pStyle w:val="116"/>
        <w:rPr>
          <w:rFonts w:hint="eastAsia"/>
        </w:rPr>
      </w:pPr>
      <w:r>
        <w:tab/>
      </w:r>
      <w:r>
        <w:rPr>
          <w:rFonts w:hint="eastAsia" w:hAnsi="Cambria Math" w:cs="仿宋"/>
          <w:position w:val="-24"/>
          <w:sz w:val="28"/>
          <w:szCs w:val="28"/>
        </w:rPr>
        <w:object>
          <v:shape id="_x0000_i1029" o:spt="75" type="#_x0000_t75" style="height:36.6pt;width:74.4pt;" o:ole="t" filled="f" o:preferrelative="t" stroked="f" coordsize="21600,21600">
            <v:path/>
            <v:fill on="f" focussize="0,0"/>
            <v:stroke on="f" joinstyle="miter"/>
            <v:imagedata r:id="rId35" o:title=""/>
            <o:lock v:ext="edit" aspectratio="t"/>
            <w10:wrap type="none"/>
            <w10:anchorlock/>
          </v:shape>
          <o:OLEObject Type="Embed" ProgID="Equation.3" ShapeID="_x0000_i1029" DrawAspect="Content" ObjectID="_1468075729" r:id="rId34">
            <o:LockedField>false</o:LockedField>
          </o:OLEObject>
        </w:object>
      </w:r>
      <w:r>
        <w:rPr>
          <w:rFonts w:ascii="微软雅黑" w:hAnsi="微软雅黑" w:eastAsia="微软雅黑"/>
        </w:rPr>
        <w:tab/>
      </w:r>
      <w:r>
        <w:rPr>
          <w:rFonts w:ascii="Times New Roman" w:hAnsi="Times New Roman"/>
        </w:rPr>
        <w:t>(B.</w:t>
      </w:r>
      <w:r>
        <w:rPr>
          <w:rFonts w:ascii="Times New Roman" w:hAnsi="Times New Roman"/>
        </w:rPr>
        <w:fldChar w:fldCharType="begin"/>
      </w:r>
      <w:r>
        <w:rPr>
          <w:rFonts w:ascii="Times New Roman" w:hAnsi="Times New Roman"/>
        </w:rPr>
        <w:instrText xml:space="preserve">  seq fulu_equation_132767673758578716  </w:instrText>
      </w:r>
      <w:r>
        <w:rPr>
          <w:rFonts w:ascii="Times New Roman" w:hAnsi="Times New Roman"/>
        </w:rPr>
        <w:fldChar w:fldCharType="separate"/>
      </w:r>
      <w:r>
        <w:rPr>
          <w:rFonts w:ascii="Times New Roman" w:hAnsi="Times New Roman"/>
        </w:rPr>
        <w:t>3</w:t>
      </w:r>
      <w:r>
        <w:rPr>
          <w:rFonts w:ascii="Times New Roman" w:hAnsi="Times New Roman"/>
        </w:rPr>
        <w:fldChar w:fldCharType="end"/>
      </w:r>
      <w:r>
        <w:t>)</w:t>
      </w:r>
    </w:p>
    <w:p w14:paraId="3B18903D">
      <w:pPr>
        <w:pStyle w:val="58"/>
        <w:ind w:firstLine="420"/>
      </w:pPr>
      <w:r>
        <w:rPr>
          <w:rFonts w:hint="eastAsia"/>
        </w:rPr>
        <w:t>式中：</w:t>
      </w:r>
    </w:p>
    <w:p w14:paraId="00B9AFF7">
      <w:pPr>
        <w:pStyle w:val="59"/>
        <w:ind w:firstLine="420"/>
        <w:rPr>
          <w:rFonts w:ascii="Times New Roman"/>
        </w:rPr>
      </w:pPr>
      <w:r>
        <w:rPr>
          <w:rFonts w:ascii="Times New Roman"/>
          <w:iCs/>
        </w:rPr>
        <w:t>LPD</w:t>
      </w:r>
      <w:r>
        <w:rPr>
          <w:rFonts w:ascii="Times New Roman"/>
        </w:rPr>
        <w:t>——照明功率密度，单位为瓦特每平方米（W/m</w:t>
      </w:r>
      <w:r>
        <w:rPr>
          <w:rFonts w:ascii="Times New Roman"/>
          <w:vertAlign w:val="superscript"/>
        </w:rPr>
        <w:t>2</w:t>
      </w:r>
      <w:r>
        <w:rPr>
          <w:rFonts w:ascii="Times New Roman"/>
        </w:rPr>
        <w:t>)；</w:t>
      </w:r>
    </w:p>
    <w:p w14:paraId="26ECAC3C">
      <w:pPr>
        <w:pStyle w:val="59"/>
        <w:ind w:firstLine="420"/>
      </w:pPr>
      <w:r>
        <w:rPr>
          <w:rFonts w:hint="eastAsia"/>
          <w:iCs/>
        </w:rPr>
        <w:t>P</w:t>
      </w:r>
      <w:r>
        <w:rPr>
          <w:rFonts w:hint="eastAsia"/>
          <w:iCs/>
          <w:vertAlign w:val="subscript"/>
        </w:rPr>
        <w:t>i</w:t>
      </w:r>
      <w:r>
        <w:rPr>
          <w:rFonts w:hint="eastAsia"/>
        </w:rPr>
        <w:t>——被测量照明场所中</w:t>
      </w:r>
      <w:r>
        <w:rPr>
          <w:rFonts w:ascii="Times New Roman"/>
        </w:rPr>
        <w:t>的</w:t>
      </w:r>
      <w:bookmarkStart w:id="220" w:name="OLE_LINK3"/>
      <w:r>
        <w:rPr>
          <w:rFonts w:ascii="Times New Roman"/>
        </w:rPr>
        <w:t>第 i 个</w:t>
      </w:r>
      <w:bookmarkEnd w:id="220"/>
      <w:r>
        <w:rPr>
          <w:rFonts w:ascii="Times New Roman"/>
        </w:rPr>
        <w:t>单</w:t>
      </w:r>
      <w:r>
        <w:rPr>
          <w:rFonts w:hint="eastAsia"/>
        </w:rPr>
        <w:t>个照明灯具的输入功率，单位为瓦</w:t>
      </w:r>
      <w:r>
        <w:rPr>
          <w:rFonts w:ascii="Times New Roman"/>
        </w:rPr>
        <w:t>特（W)；</w:t>
      </w:r>
    </w:p>
    <w:p w14:paraId="2C3AFA82">
      <w:pPr>
        <w:pStyle w:val="59"/>
        <w:ind w:firstLine="420"/>
      </w:pPr>
      <w:r>
        <w:rPr>
          <w:rFonts w:hint="eastAsia"/>
          <w:iCs/>
        </w:rPr>
        <w:t>S</w:t>
      </w:r>
      <w:r>
        <w:rPr>
          <w:rFonts w:hint="eastAsia"/>
        </w:rPr>
        <w:t>——被测量照明场所的面积，单位为平方米</w:t>
      </w:r>
      <w:r>
        <w:rPr>
          <w:rFonts w:ascii="Times New Roman"/>
        </w:rPr>
        <w:t>（m</w:t>
      </w:r>
      <w:r>
        <w:rPr>
          <w:rFonts w:ascii="Times New Roman"/>
          <w:vertAlign w:val="superscript"/>
        </w:rPr>
        <w:t>2</w:t>
      </w:r>
      <w:r>
        <w:rPr>
          <w:rFonts w:ascii="Times New Roman"/>
        </w:rPr>
        <w:t>)</w:t>
      </w:r>
      <w:r>
        <w:rPr>
          <w:rFonts w:hint="eastAsia"/>
        </w:rPr>
        <w:t>。</w:t>
      </w:r>
    </w:p>
    <w:p w14:paraId="355E1C32">
      <w:pPr>
        <w:pStyle w:val="81"/>
        <w:spacing w:before="120" w:after="120"/>
      </w:pPr>
      <w:bookmarkStart w:id="221" w:name="_Toc24048"/>
      <w:r>
        <w:rPr>
          <w:rFonts w:hint="eastAsia"/>
        </w:rPr>
        <w:t>统一眩光值(UGR)的测量和计算</w:t>
      </w:r>
      <w:bookmarkEnd w:id="221"/>
    </w:p>
    <w:p w14:paraId="493451DF">
      <w:pPr>
        <w:pStyle w:val="215"/>
        <w:numPr>
          <w:ilvl w:val="2"/>
          <w:numId w:val="0"/>
        </w:numPr>
        <w:rPr>
          <w:rFonts w:ascii="Times New Roman"/>
        </w:rPr>
      </w:pPr>
      <w:r>
        <w:rPr>
          <w:rFonts w:ascii="Times New Roman" w:eastAsia="黑体"/>
        </w:rPr>
        <w:t>B.7.1　</w:t>
      </w:r>
      <w:r>
        <w:rPr>
          <w:rFonts w:ascii="Times New Roman"/>
        </w:rPr>
        <w:t>测量（观察）位置：按照坐姿眼睛高度1.2 m，在离教室后墙水平距离0.5 m和1.1 m的中点各测试一次统一眩光值(UGR)，取两个值中较大的值作为测量值，视线水平朝前观测。</w:t>
      </w:r>
    </w:p>
    <w:p w14:paraId="64B2A5DD">
      <w:pPr>
        <w:pStyle w:val="215"/>
        <w:numPr>
          <w:ilvl w:val="2"/>
          <w:numId w:val="0"/>
        </w:numPr>
        <w:rPr>
          <w:rFonts w:ascii="Times New Roman"/>
        </w:rPr>
      </w:pPr>
      <w:r>
        <w:rPr>
          <w:rFonts w:ascii="Times New Roman" w:eastAsia="黑体"/>
        </w:rPr>
        <w:t>B.7.2　</w:t>
      </w:r>
      <w:r>
        <w:rPr>
          <w:rFonts w:ascii="Times New Roman"/>
        </w:rPr>
        <w:t>具体的测试和计算方法参照GB/T 50034-2024。</w:t>
      </w:r>
    </w:p>
    <w:p w14:paraId="32DBD726">
      <w:pPr>
        <w:pStyle w:val="81"/>
        <w:spacing w:before="120" w:after="120"/>
      </w:pPr>
      <w:bookmarkStart w:id="222" w:name="_Toc5777"/>
      <w:r>
        <w:rPr>
          <w:rFonts w:hint="eastAsia"/>
        </w:rPr>
        <w:t>相关色温及一般显色指数、特殊显色指数R9的测量和计算</w:t>
      </w:r>
      <w:bookmarkEnd w:id="222"/>
    </w:p>
    <w:p w14:paraId="08E16D97">
      <w:pPr>
        <w:pStyle w:val="59"/>
        <w:ind w:firstLine="420"/>
        <w:rPr>
          <w:rFonts w:ascii="Times New Roman"/>
        </w:rPr>
      </w:pPr>
      <w:r>
        <w:rPr>
          <w:rFonts w:ascii="Times New Roman"/>
        </w:rPr>
        <w:t>应取地面0.75 m高的水平面为工作面，也可根据实际情况选定其他工作面。测试区域和测点布置要求同B.1教室课桌面照度的测量区域和测点布置要求，测试并计算得到相关色温、一般显色指数和特殊显色指数的平均值，作为该教室的相关色温、一般显色指数和特殊显色指数的测量值。</w:t>
      </w:r>
    </w:p>
    <w:p w14:paraId="60B9507F">
      <w:pPr>
        <w:pStyle w:val="81"/>
        <w:spacing w:before="120" w:after="120"/>
      </w:pPr>
      <w:bookmarkStart w:id="223" w:name="_Toc23574"/>
      <w:r>
        <w:rPr>
          <w:rFonts w:hint="eastAsia"/>
        </w:rPr>
        <w:t>波动深度的测量和计算</w:t>
      </w:r>
      <w:bookmarkEnd w:id="223"/>
    </w:p>
    <w:p w14:paraId="1DE3AA2D">
      <w:pPr>
        <w:pStyle w:val="59"/>
        <w:ind w:firstLine="420"/>
        <w:rPr>
          <w:rFonts w:ascii="Times New Roman"/>
        </w:rPr>
      </w:pPr>
      <w:r>
        <w:rPr>
          <w:rFonts w:ascii="Times New Roman"/>
        </w:rPr>
        <w:t>教室灯具波动深度现场测试应取地面0.75 m高的水平面为工作面，也可根据实际情况选定其他工作面。测试区域和测点布置要求同B.1教室课桌面照度的测量区域和测点布置要求，随机选取一个测试点按IEEE Std 1789用频闪测试仪测试得到教室灯具的波动频率和波动深度。</w:t>
      </w:r>
    </w:p>
    <w:p w14:paraId="6992A272">
      <w:pPr>
        <w:pStyle w:val="59"/>
        <w:ind w:firstLine="420"/>
        <w:rPr>
          <w:rFonts w:ascii="Times New Roman"/>
        </w:rPr>
      </w:pPr>
      <w:r>
        <w:rPr>
          <w:rFonts w:ascii="Times New Roman"/>
        </w:rPr>
        <w:t>黑板灯具波动深度现场测试应取黑板面为工作面。测试区域和测点布置要求同B.2教室黑板照度的测量区域和测点布置要求，随机选取一个测试点按IEEE Std 1789用频闪测试仪测试得到黑板灯具的波动频率和波动深度。</w:t>
      </w:r>
    </w:p>
    <w:p w14:paraId="6AA87C7B">
      <w:pPr>
        <w:pStyle w:val="59"/>
        <w:ind w:firstLine="420"/>
        <w:rPr>
          <w:rFonts w:ascii="Times New Roman"/>
        </w:rPr>
      </w:pPr>
    </w:p>
    <w:p w14:paraId="57231D14">
      <w:pPr>
        <w:pStyle w:val="59"/>
        <w:ind w:firstLine="420"/>
        <w:rPr>
          <w:rFonts w:ascii="Times New Roman"/>
        </w:rPr>
        <w:sectPr>
          <w:pgSz w:w="11906" w:h="16838"/>
          <w:pgMar w:top="1928" w:right="1134" w:bottom="1134" w:left="1134" w:header="1418" w:footer="1134" w:gutter="284"/>
          <w:cols w:space="425" w:num="1"/>
          <w:formProt w:val="0"/>
          <w:docGrid w:linePitch="312" w:charSpace="0"/>
        </w:sectPr>
      </w:pPr>
    </w:p>
    <w:p w14:paraId="401611E9">
      <w:pPr>
        <w:pStyle w:val="79"/>
        <w:spacing w:after="120"/>
      </w:pPr>
      <w:bookmarkStart w:id="224" w:name="_Toc24570"/>
      <w:r>
        <w:br w:type="textWrapping"/>
      </w:r>
      <w:bookmarkStart w:id="225" w:name="_Toc167287352"/>
      <w:r>
        <w:rPr>
          <w:rFonts w:hint="eastAsia"/>
        </w:rPr>
        <w:t>（资料性）</w:t>
      </w:r>
      <w:r>
        <w:br w:type="textWrapping"/>
      </w:r>
      <w:bookmarkEnd w:id="225"/>
      <w:r>
        <w:rPr>
          <w:rFonts w:hint="eastAsia"/>
        </w:rPr>
        <w:t>节律照明指标测试和计算方法</w:t>
      </w:r>
      <w:bookmarkEnd w:id="224"/>
    </w:p>
    <w:p w14:paraId="101B1272">
      <w:pPr>
        <w:pStyle w:val="81"/>
        <w:numPr>
          <w:ilvl w:val="1"/>
          <w:numId w:val="0"/>
        </w:numPr>
        <w:spacing w:before="120" w:after="120"/>
      </w:pPr>
      <w:bookmarkStart w:id="226" w:name="_Toc11999"/>
      <w:r>
        <w:rPr>
          <w:rFonts w:hint="eastAsia"/>
        </w:rPr>
        <w:t>C.1　视黑素响应日光（D65）等效照度</w:t>
      </w:r>
      <w:r>
        <w:rPr>
          <w:rFonts w:hint="eastAsia" w:hAnsi="黑体"/>
        </w:rPr>
        <w:t>melanopic equivalent daylight (D65) illuminance (m-EDI)</w:t>
      </w:r>
      <w:bookmarkEnd w:id="226"/>
    </w:p>
    <w:p w14:paraId="3D05C7DC">
      <w:pPr>
        <w:pStyle w:val="59"/>
        <w:ind w:firstLine="420"/>
        <w:rPr>
          <w:rFonts w:ascii="Times New Roman"/>
        </w:rPr>
      </w:pPr>
      <w:r>
        <w:rPr>
          <w:rFonts w:hint="eastAsia" w:ascii="Times New Roman"/>
        </w:rPr>
        <w:t>视黑素等效勒克斯EML是一种用于量化光照节律效应的指标。它是由Robert J. Lucas等人提出的。Lucas等人提供了一个基于excel程序的计算器，可以计算视网膜中5种感光细胞（三种视锥细胞、一种视杆细胞和一种ipRGC）分别对应的等效勒克斯数值。将非视觉感光细胞ipRGC对应的等效照度定义为视黑素等效勒克斯，并以此作为节律照明设计的量化指标。</w:t>
      </w:r>
    </w:p>
    <w:p w14:paraId="6EC6D0B0">
      <w:pPr>
        <w:pStyle w:val="182"/>
        <w:rPr>
          <w:rFonts w:ascii="Times New Roman"/>
          <w:lang w:eastAsia="zh-Hans"/>
        </w:rPr>
      </w:pPr>
      <w:r>
        <w:rPr>
          <w:rFonts w:hint="eastAsia" w:ascii="Times New Roman"/>
          <w:lang w:eastAsia="zh-Hans"/>
        </w:rPr>
        <w:t>以上内容改写自WELL建筑标准，TABLE L1: Melanopic Ratio。</w:t>
      </w:r>
    </w:p>
    <w:p w14:paraId="7232B80E">
      <w:pPr>
        <w:pStyle w:val="59"/>
        <w:ind w:firstLine="420"/>
        <w:rPr>
          <w:rFonts w:ascii="Times New Roman"/>
        </w:rPr>
      </w:pPr>
      <w:r>
        <w:rPr>
          <w:rFonts w:hint="eastAsia" w:ascii="Times New Roman"/>
        </w:rPr>
        <w:t>视黑素响应日光（D65）等效照度m-EDI是一种用于量化光照节律效应的指标，它是由国际照明委员会（International Commission on illumination, CIE）在Robert J. Lucas等人的研究基础上提出的，它指的是以CIE标准光源D65（Daylight 6500 K）产生与待测场景相同的视黑素等效照度时，该D65光源产生的照度值即为待测场景的m-EDI值，并以此作为节律照明设计的量化指标。m-EDI和EML两项指标本质上并无差异，二者在数值上存在换算关系（见公式C.4）。</w:t>
      </w:r>
    </w:p>
    <w:p w14:paraId="5804567C">
      <w:pPr>
        <w:pStyle w:val="81"/>
        <w:numPr>
          <w:ilvl w:val="1"/>
          <w:numId w:val="0"/>
        </w:numPr>
        <w:spacing w:before="120" w:after="120"/>
      </w:pPr>
      <w:bookmarkStart w:id="227" w:name="_Toc27313"/>
      <w:bookmarkStart w:id="228" w:name="_Toc156198522"/>
      <w:r>
        <w:rPr>
          <w:rFonts w:hint="eastAsia"/>
        </w:rPr>
        <w:t>C.2　测量位置与取点分布</w:t>
      </w:r>
      <w:bookmarkEnd w:id="227"/>
      <w:bookmarkEnd w:id="228"/>
    </w:p>
    <w:p w14:paraId="6EBD95D0">
      <w:pPr>
        <w:pStyle w:val="59"/>
        <w:ind w:firstLine="420"/>
        <w:rPr>
          <w:rFonts w:ascii="Times New Roman"/>
        </w:rPr>
      </w:pPr>
      <w:r>
        <w:rPr>
          <w:rFonts w:hint="eastAsia" w:ascii="Times New Roman"/>
        </w:rPr>
        <w:t>视黑素响应日光（D65）等效照度m-EDI、视黑素等效勒克斯EML的测量位置（测试高度、测量视线方向）与取点分布，同眼部垂直照度的现场检测要求保持一致，详见附录B.2。可通过光谱照度计测得各测量点的单位面积光谱功率密度分布数值并导出，参照附录C.3或C.4的方法计算即可得到相应的m-EDI或EML数值；或使用专用设备直接测量m-EDI或EML数值。</w:t>
      </w:r>
    </w:p>
    <w:p w14:paraId="56AE49E9">
      <w:pPr>
        <w:pStyle w:val="81"/>
        <w:numPr>
          <w:ilvl w:val="1"/>
          <w:numId w:val="0"/>
        </w:numPr>
        <w:spacing w:before="120" w:after="120"/>
      </w:pPr>
      <w:bookmarkStart w:id="229" w:name="_Toc21806"/>
      <w:bookmarkStart w:id="230" w:name="_Toc156198523"/>
      <w:r>
        <w:rPr>
          <w:rFonts w:hint="eastAsia"/>
        </w:rPr>
        <w:t>C.3　视黑素等效勒克斯EML的计算方法</w:t>
      </w:r>
      <w:bookmarkEnd w:id="229"/>
      <w:bookmarkEnd w:id="230"/>
    </w:p>
    <w:p w14:paraId="74502545">
      <w:pPr>
        <w:pStyle w:val="59"/>
        <w:ind w:firstLine="420"/>
        <w:rPr>
          <w:rFonts w:ascii="Times New Roman"/>
        </w:rPr>
      </w:pPr>
      <w:r>
        <w:rPr>
          <w:rFonts w:hint="eastAsia" w:ascii="Times New Roman"/>
        </w:rPr>
        <w:t>Robert J. Lucas等人对EML的数值计算方法给出了说明，具体表达公式如下：</w:t>
      </w:r>
    </w:p>
    <w:p w14:paraId="5803F5F5">
      <w:pPr>
        <w:pStyle w:val="116"/>
        <w:rPr>
          <w:rFonts w:hint="eastAsia"/>
        </w:rPr>
      </w:pPr>
      <w:r>
        <w:tab/>
      </w:r>
      <m:oMath>
        <m:r>
          <m:rPr>
            <m:sty m:val="p"/>
          </m:rPr>
          <w:rPr>
            <w:rFonts w:ascii="Cambria Math" w:hAnsi="Cambria Math"/>
          </w:rPr>
          <m:t>EML</m:t>
        </m:r>
        <m:r>
          <m:rPr/>
          <w:rPr>
            <w:rFonts w:ascii="Cambria Math" w:hAnsi="Cambria Math"/>
          </w:rPr>
          <m:t>=</m:t>
        </m:r>
        <m:f>
          <m:fPr>
            <m:ctrlPr>
              <w:rPr>
                <w:rFonts w:ascii="Cambria Math" w:hAnsi="Cambria Math"/>
                <w:i/>
              </w:rPr>
            </m:ctrlPr>
          </m:fPr>
          <m:num>
            <m:sSub>
              <m:sSubPr>
                <m:ctrlPr>
                  <w:rPr>
                    <w:rFonts w:ascii="Cambria Math" w:hAnsi="Cambria Math"/>
                    <w:i/>
                  </w:rPr>
                </m:ctrlPr>
              </m:sSubPr>
              <m:e>
                <m:r>
                  <m:rPr/>
                  <w:rPr>
                    <w:rFonts w:ascii="Cambria Math" w:hAnsi="Cambria Math"/>
                  </w:rPr>
                  <m:t>Κ</m:t>
                </m:r>
                <m:ctrlPr>
                  <w:rPr>
                    <w:rFonts w:ascii="Cambria Math" w:hAnsi="Cambria Math"/>
                    <w:i/>
                  </w:rPr>
                </m:ctrlPr>
              </m:e>
              <m:sub>
                <m:r>
                  <m:rPr/>
                  <w:rPr>
                    <w:rFonts w:ascii="Cambria Math" w:hAnsi="Cambria Math"/>
                  </w:rPr>
                  <m:t>m</m:t>
                </m:r>
                <m:ctrlPr>
                  <w:rPr>
                    <w:rFonts w:ascii="Cambria Math" w:hAnsi="Cambria Math"/>
                    <w:i/>
                  </w:rPr>
                </m:ctrlPr>
              </m:sub>
            </m:sSub>
            <m:nary>
              <m:naryPr>
                <m:limLoc m:val="undOvr"/>
                <m:subHide m:val="1"/>
                <m:supHide m:val="1"/>
                <m:ctrlPr>
                  <w:rPr>
                    <w:rFonts w:ascii="Cambria Math" w:hAnsi="Cambria Math"/>
                    <w:i/>
                  </w:rPr>
                </m:ctrlPr>
              </m:naryPr>
              <m:sub>
                <m:ctrlPr>
                  <w:rPr>
                    <w:rFonts w:ascii="Cambria Math" w:hAnsi="Cambria Math"/>
                    <w:i/>
                  </w:rPr>
                </m:ctrlPr>
              </m:sub>
              <m:sup>
                <m:ctrlPr>
                  <w:rPr>
                    <w:rFonts w:ascii="Cambria Math" w:hAnsi="Cambria Math"/>
                    <w:i/>
                  </w:rPr>
                </m:ctrlPr>
              </m:sup>
              <m:e>
                <m:sSub>
                  <m:sSubPr>
                    <m:ctrlPr>
                      <w:rPr>
                        <w:rFonts w:ascii="Cambria Math" w:hAnsi="Cambria Math"/>
                        <w:i/>
                      </w:rPr>
                    </m:ctrlPr>
                  </m:sSubPr>
                  <m:e>
                    <m:r>
                      <m:rPr/>
                      <w:rPr>
                        <w:rFonts w:ascii="Cambria Math" w:hAnsi="Cambria Math"/>
                      </w:rPr>
                      <m:t>Ε</m:t>
                    </m:r>
                    <m:ctrlPr>
                      <w:rPr>
                        <w:rFonts w:ascii="Cambria Math" w:hAnsi="Cambria Math"/>
                        <w:i/>
                      </w:rPr>
                    </m:ctrlPr>
                  </m:e>
                  <m:sub>
                    <m:r>
                      <m:rPr/>
                      <w:rPr>
                        <w:rFonts w:ascii="Cambria Math" w:hAnsi="Cambria Math"/>
                      </w:rPr>
                      <m:t>e,  λ</m:t>
                    </m:r>
                    <m:ctrlPr>
                      <w:rPr>
                        <w:rFonts w:ascii="Cambria Math" w:hAnsi="Cambria Math"/>
                        <w:i/>
                      </w:rPr>
                    </m:ctrlPr>
                  </m:sub>
                </m:sSub>
                <m:d>
                  <m:dPr>
                    <m:ctrlPr>
                      <w:rPr>
                        <w:rFonts w:ascii="Cambria Math" w:hAnsi="Cambria Math"/>
                        <w:i/>
                      </w:rPr>
                    </m:ctrlPr>
                  </m:dPr>
                  <m:e>
                    <m:r>
                      <m:rPr/>
                      <w:rPr>
                        <w:rFonts w:ascii="Cambria Math" w:hAnsi="Cambria Math"/>
                      </w:rPr>
                      <m:t>λ</m:t>
                    </m:r>
                    <m:ctrlPr>
                      <w:rPr>
                        <w:rFonts w:ascii="Cambria Math" w:hAnsi="Cambria Math"/>
                        <w:i/>
                      </w:rPr>
                    </m:ctrlPr>
                  </m:e>
                </m:d>
                <m:r>
                  <m:rPr/>
                  <w:rPr>
                    <w:rFonts w:ascii="Cambria Math" w:hAnsi="Cambria Math"/>
                  </w:rPr>
                  <m:t xml:space="preserve"> </m:t>
                </m:r>
                <m:ctrlPr>
                  <w:rPr>
                    <w:rFonts w:ascii="Cambria Math" w:hAnsi="Cambria Math"/>
                    <w:i/>
                  </w:rPr>
                </m:ctrlPr>
              </m:e>
            </m:nary>
            <m:sSub>
              <m:sSubPr>
                <m:ctrlPr>
                  <w:rPr>
                    <w:rFonts w:ascii="Cambria Math" w:hAnsi="Cambria Math"/>
                    <w:i/>
                  </w:rPr>
                </m:ctrlPr>
              </m:sSubPr>
              <m:e>
                <m:r>
                  <m:rPr/>
                  <w:rPr>
                    <w:rFonts w:ascii="Cambria Math" w:hAnsi="Cambria Math"/>
                  </w:rPr>
                  <m:t>Ν</m:t>
                </m:r>
                <m:ctrlPr>
                  <w:rPr>
                    <w:rFonts w:ascii="Cambria Math" w:hAnsi="Cambria Math"/>
                    <w:i/>
                  </w:rPr>
                </m:ctrlPr>
              </m:e>
              <m:sub>
                <m:r>
                  <m:rPr/>
                  <w:rPr>
                    <w:rFonts w:ascii="Cambria Math" w:hAnsi="Cambria Math"/>
                  </w:rPr>
                  <m:t>z</m:t>
                </m:r>
                <m:ctrlPr>
                  <w:rPr>
                    <w:rFonts w:ascii="Cambria Math" w:hAnsi="Cambria Math"/>
                    <w:i/>
                  </w:rPr>
                </m:ctrlPr>
              </m:sub>
            </m:sSub>
            <m:d>
              <m:dPr>
                <m:ctrlPr>
                  <w:rPr>
                    <w:rFonts w:ascii="Cambria Math" w:hAnsi="Cambria Math"/>
                    <w:i/>
                  </w:rPr>
                </m:ctrlPr>
              </m:dPr>
              <m:e>
                <m:r>
                  <m:rPr/>
                  <w:rPr>
                    <w:rFonts w:ascii="Cambria Math" w:hAnsi="Cambria Math"/>
                  </w:rPr>
                  <m:t>λ</m:t>
                </m:r>
                <m:ctrlPr>
                  <w:rPr>
                    <w:rFonts w:ascii="Cambria Math" w:hAnsi="Cambria Math"/>
                    <w:i/>
                  </w:rPr>
                </m:ctrlPr>
              </m:e>
            </m:d>
            <m:r>
              <m:rPr/>
              <w:rPr>
                <w:rFonts w:ascii="Cambria Math" w:hAnsi="Cambria Math"/>
              </w:rPr>
              <m:t xml:space="preserve"> dλ∙</m:t>
            </m:r>
            <m:nary>
              <m:naryPr>
                <m:limLoc m:val="undOvr"/>
                <m:subHide m:val="1"/>
                <m:supHide m:val="1"/>
                <m:ctrlPr>
                  <w:rPr>
                    <w:rFonts w:ascii="Cambria Math" w:hAnsi="Cambria Math"/>
                    <w:i/>
                  </w:rPr>
                </m:ctrlPr>
              </m:naryPr>
              <m:sub>
                <m:ctrlPr>
                  <w:rPr>
                    <w:rFonts w:ascii="Cambria Math" w:hAnsi="Cambria Math"/>
                    <w:i/>
                  </w:rPr>
                </m:ctrlPr>
              </m:sub>
              <m:sup>
                <m:ctrlPr>
                  <w:rPr>
                    <w:rFonts w:ascii="Cambria Math" w:hAnsi="Cambria Math"/>
                    <w:i/>
                  </w:rPr>
                </m:ctrlPr>
              </m:sup>
              <m:e>
                <m:r>
                  <m:rPr/>
                  <w:rPr>
                    <w:rFonts w:ascii="Cambria Math" w:hAnsi="Cambria Math"/>
                  </w:rPr>
                  <m:t>V</m:t>
                </m:r>
                <m:d>
                  <m:dPr>
                    <m:ctrlPr>
                      <w:rPr>
                        <w:rFonts w:ascii="Cambria Math" w:hAnsi="Cambria Math"/>
                        <w:i/>
                      </w:rPr>
                    </m:ctrlPr>
                  </m:dPr>
                  <m:e>
                    <m:r>
                      <m:rPr/>
                      <w:rPr>
                        <w:rFonts w:ascii="Cambria Math" w:hAnsi="Cambria Math"/>
                      </w:rPr>
                      <m:t>λ</m:t>
                    </m:r>
                    <m:ctrlPr>
                      <w:rPr>
                        <w:rFonts w:ascii="Cambria Math" w:hAnsi="Cambria Math"/>
                        <w:i/>
                      </w:rPr>
                    </m:ctrlPr>
                  </m:e>
                </m:d>
                <m:r>
                  <m:rPr/>
                  <w:rPr>
                    <w:rFonts w:ascii="Cambria Math" w:hAnsi="Cambria Math"/>
                  </w:rPr>
                  <m:t xml:space="preserve"> dλ</m:t>
                </m:r>
                <m:ctrlPr>
                  <w:rPr>
                    <w:rFonts w:ascii="Cambria Math" w:hAnsi="Cambria Math"/>
                    <w:i/>
                  </w:rPr>
                </m:ctrlPr>
              </m:e>
            </m:nary>
            <m:ctrlPr>
              <w:rPr>
                <w:rFonts w:ascii="Cambria Math" w:hAnsi="Cambria Math"/>
                <w:i/>
              </w:rPr>
            </m:ctrlPr>
          </m:num>
          <m:den>
            <m:nary>
              <m:naryPr>
                <m:limLoc m:val="undOvr"/>
                <m:subHide m:val="1"/>
                <m:supHide m:val="1"/>
                <m:ctrlPr>
                  <w:rPr>
                    <w:rFonts w:ascii="Cambria Math" w:hAnsi="Cambria Math"/>
                    <w:i/>
                  </w:rPr>
                </m:ctrlPr>
              </m:naryPr>
              <m:sub>
                <m:ctrlPr>
                  <w:rPr>
                    <w:rFonts w:ascii="Cambria Math" w:hAnsi="Cambria Math"/>
                    <w:i/>
                  </w:rPr>
                </m:ctrlPr>
              </m:sub>
              <m:sup>
                <m:ctrlPr>
                  <w:rPr>
                    <w:rFonts w:ascii="Cambria Math" w:hAnsi="Cambria Math"/>
                    <w:i/>
                  </w:rPr>
                </m:ctrlPr>
              </m:sup>
              <m:e>
                <m:sSub>
                  <m:sSubPr>
                    <m:ctrlPr>
                      <w:rPr>
                        <w:rFonts w:ascii="Cambria Math" w:hAnsi="Cambria Math"/>
                        <w:i/>
                      </w:rPr>
                    </m:ctrlPr>
                  </m:sSubPr>
                  <m:e>
                    <m:r>
                      <m:rPr/>
                      <w:rPr>
                        <w:rFonts w:ascii="Cambria Math" w:hAnsi="Cambria Math"/>
                      </w:rPr>
                      <m:t>Ν</m:t>
                    </m:r>
                    <m:ctrlPr>
                      <w:rPr>
                        <w:rFonts w:ascii="Cambria Math" w:hAnsi="Cambria Math"/>
                        <w:i/>
                      </w:rPr>
                    </m:ctrlPr>
                  </m:e>
                  <m:sub>
                    <m:r>
                      <m:rPr/>
                      <w:rPr>
                        <w:rFonts w:ascii="Cambria Math" w:hAnsi="Cambria Math"/>
                      </w:rPr>
                      <m:t>z</m:t>
                    </m:r>
                    <m:ctrlPr>
                      <w:rPr>
                        <w:rFonts w:ascii="Cambria Math" w:hAnsi="Cambria Math"/>
                        <w:i/>
                      </w:rPr>
                    </m:ctrlPr>
                  </m:sub>
                </m:sSub>
                <m:d>
                  <m:dPr>
                    <m:ctrlPr>
                      <w:rPr>
                        <w:rFonts w:ascii="Cambria Math" w:hAnsi="Cambria Math"/>
                        <w:i/>
                      </w:rPr>
                    </m:ctrlPr>
                  </m:dPr>
                  <m:e>
                    <m:r>
                      <m:rPr/>
                      <w:rPr>
                        <w:rFonts w:ascii="Cambria Math" w:hAnsi="Cambria Math"/>
                      </w:rPr>
                      <m:t>λ</m:t>
                    </m:r>
                    <m:ctrlPr>
                      <w:rPr>
                        <w:rFonts w:ascii="Cambria Math" w:hAnsi="Cambria Math"/>
                        <w:i/>
                      </w:rPr>
                    </m:ctrlPr>
                  </m:e>
                </m:d>
                <m:r>
                  <m:rPr/>
                  <w:rPr>
                    <w:rFonts w:ascii="Cambria Math" w:hAnsi="Cambria Math"/>
                  </w:rPr>
                  <m:t xml:space="preserve"> dλ</m:t>
                </m:r>
                <m:ctrlPr>
                  <w:rPr>
                    <w:rFonts w:ascii="Cambria Math" w:hAnsi="Cambria Math"/>
                    <w:i/>
                  </w:rPr>
                </m:ctrlPr>
              </m:e>
            </m:nary>
            <m:ctrlPr>
              <w:rPr>
                <w:rFonts w:ascii="Cambria Math" w:hAnsi="Cambria Math"/>
                <w:i/>
              </w:rPr>
            </m:ctrlPr>
          </m:den>
        </m:f>
      </m:oMath>
      <w:r>
        <w:rPr>
          <w:rFonts w:ascii="微软雅黑" w:hAnsi="微软雅黑" w:eastAsia="微软雅黑"/>
        </w:rPr>
        <w:tab/>
      </w:r>
      <w:r>
        <w:rPr>
          <w:rFonts w:ascii="Times New Roman" w:hAnsi="Times New Roman"/>
        </w:rPr>
        <w:t>(C.</w:t>
      </w:r>
      <w:r>
        <w:rPr>
          <w:rFonts w:ascii="Times New Roman" w:hAnsi="Times New Roman"/>
        </w:rPr>
        <w:fldChar w:fldCharType="begin"/>
      </w:r>
      <w:r>
        <w:rPr>
          <w:rFonts w:ascii="Times New Roman" w:hAnsi="Times New Roman"/>
        </w:rPr>
        <w:instrText xml:space="preserve"> seq fulu_equation_133487169653666456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hAnsi="Times New Roman"/>
        </w:rPr>
        <w:t>)</w:t>
      </w:r>
    </w:p>
    <w:p w14:paraId="2BB88E02">
      <w:pPr>
        <w:pStyle w:val="58"/>
        <w:ind w:firstLine="420"/>
      </w:pPr>
      <w:r>
        <w:rPr>
          <w:rFonts w:hint="eastAsia"/>
        </w:rPr>
        <w:t>式中：</w:t>
      </w:r>
    </w:p>
    <w:p w14:paraId="5FDC481B">
      <w:pPr>
        <w:adjustRightInd/>
        <w:spacing w:line="240" w:lineRule="auto"/>
        <w:ind w:left="420" w:leftChars="200"/>
        <w:rPr>
          <w:rFonts w:ascii="Times New Roman" w:hAnsi="Times New Roman"/>
        </w:rPr>
      </w:pPr>
      <m:oMath>
        <m:r>
          <m:rPr/>
          <w:rPr>
            <w:rFonts w:ascii="Cambria Math" w:hAnsi="Cambria Math"/>
            <w:szCs w:val="24"/>
          </w:rPr>
          <m:t>λ</m:t>
        </m:r>
      </m:oMath>
      <w:r>
        <w:rPr>
          <w:rFonts w:hint="eastAsia" w:ascii="宋体" w:hAnsi="宋体"/>
          <w:i/>
        </w:rPr>
        <w:tab/>
      </w:r>
      <w:r>
        <w:rPr>
          <w:rFonts w:hint="eastAsia" w:ascii="宋体" w:hAnsi="宋体"/>
          <w:i/>
        </w:rPr>
        <w:tab/>
      </w:r>
      <w:r>
        <w:rPr>
          <w:rFonts w:ascii="Times New Roman" w:hAnsi="Times New Roman"/>
        </w:rPr>
        <w:t>——可见光波长，单位为纳米（nm），范围为380 ~ 780 nm；</w:t>
      </w:r>
    </w:p>
    <w:p w14:paraId="3341FDEC">
      <w:pPr>
        <w:adjustRightInd/>
        <w:spacing w:line="240" w:lineRule="auto"/>
        <w:ind w:left="420" w:leftChars="200"/>
        <w:rPr>
          <w:rFonts w:ascii="Times New Roman" w:hAnsi="Times New Roman"/>
          <w:szCs w:val="24"/>
        </w:rPr>
      </w:pPr>
      <m:oMath>
        <m:sSub>
          <m:sSubPr>
            <m:ctrlPr>
              <w:rPr>
                <w:rFonts w:ascii="Cambria Math" w:hAnsi="Cambria Math"/>
                <w:i/>
                <w:szCs w:val="24"/>
              </w:rPr>
            </m:ctrlPr>
          </m:sSubPr>
          <m:e>
            <m:r>
              <m:rPr/>
              <w:rPr>
                <w:rFonts w:ascii="Cambria Math" w:hAnsi="Cambria Math"/>
                <w:szCs w:val="24"/>
              </w:rPr>
              <m:t>Κ</m:t>
            </m:r>
            <m:ctrlPr>
              <w:rPr>
                <w:rFonts w:ascii="Cambria Math" w:hAnsi="Cambria Math"/>
                <w:i/>
                <w:szCs w:val="24"/>
              </w:rPr>
            </m:ctrlPr>
          </m:e>
          <m:sub>
            <m:r>
              <m:rPr/>
              <w:rPr>
                <w:rFonts w:ascii="Cambria Math" w:hAnsi="Cambria Math"/>
                <w:szCs w:val="24"/>
              </w:rPr>
              <m:t>m</m:t>
            </m:r>
            <m:ctrlPr>
              <w:rPr>
                <w:rFonts w:ascii="Cambria Math" w:hAnsi="Cambria Math"/>
                <w:i/>
                <w:szCs w:val="24"/>
              </w:rPr>
            </m:ctrlPr>
          </m:sub>
        </m:sSub>
      </m:oMath>
      <w:r>
        <w:rPr>
          <w:rFonts w:hint="eastAsia" w:ascii="宋体" w:hAnsi="宋体"/>
          <w:i/>
        </w:rPr>
        <w:tab/>
      </w:r>
      <w:r>
        <w:rPr>
          <w:rFonts w:hint="eastAsia" w:ascii="宋体" w:hAnsi="宋体"/>
          <w:i/>
        </w:rPr>
        <w:tab/>
      </w:r>
      <w:r>
        <w:rPr>
          <w:rFonts w:ascii="Times New Roman" w:hAnsi="Times New Roman"/>
          <w:szCs w:val="24"/>
        </w:rPr>
        <w:t>——常数，代表</w:t>
      </w:r>
      <w:r>
        <w:rPr>
          <w:rFonts w:hint="eastAsia" w:ascii="Times New Roman" w:hAnsi="Times New Roman"/>
          <w:szCs w:val="24"/>
        </w:rPr>
        <w:t>明视觉最大光谱光视效能</w:t>
      </w:r>
      <w:r>
        <w:rPr>
          <w:rFonts w:ascii="Times New Roman" w:hAnsi="Times New Roman"/>
          <w:szCs w:val="24"/>
        </w:rPr>
        <w:t>，数值为683.002；</w:t>
      </w:r>
    </w:p>
    <w:p w14:paraId="349F4062">
      <w:pPr>
        <w:adjustRightInd/>
        <w:spacing w:line="240" w:lineRule="auto"/>
        <w:ind w:left="420" w:leftChars="200"/>
        <w:rPr>
          <w:rFonts w:ascii="Times New Roman" w:hAnsi="Times New Roman"/>
          <w:szCs w:val="24"/>
        </w:rPr>
      </w:pPr>
      <m:oMath>
        <m:r>
          <m:rPr/>
          <w:rPr>
            <w:rFonts w:ascii="Cambria Math" w:hAnsi="Cambria Math"/>
            <w:szCs w:val="24"/>
          </w:rPr>
          <m:t>V</m:t>
        </m:r>
        <m:d>
          <m:dPr>
            <m:ctrlPr>
              <w:rPr>
                <w:rFonts w:ascii="Cambria Math" w:hAnsi="Cambria Math"/>
                <w:i/>
                <w:szCs w:val="24"/>
              </w:rPr>
            </m:ctrlPr>
          </m:dPr>
          <m:e>
            <m:r>
              <m:rPr/>
              <w:rPr>
                <w:rFonts w:ascii="Cambria Math" w:hAnsi="Cambria Math"/>
                <w:szCs w:val="24"/>
              </w:rPr>
              <m:t>λ</m:t>
            </m:r>
            <m:ctrlPr>
              <w:rPr>
                <w:rFonts w:ascii="Cambria Math" w:hAnsi="Cambria Math"/>
                <w:i/>
                <w:szCs w:val="24"/>
              </w:rPr>
            </m:ctrlPr>
          </m:e>
        </m:d>
      </m:oMath>
      <w:r>
        <w:rPr>
          <w:rFonts w:hint="eastAsia" w:ascii="宋体" w:hAnsi="宋体"/>
          <w:i/>
        </w:rPr>
        <w:tab/>
      </w:r>
      <w:r>
        <w:rPr>
          <w:rFonts w:hint="eastAsia" w:ascii="宋体" w:hAnsi="宋体"/>
          <w:i/>
        </w:rPr>
        <w:t xml:space="preserve">    </w:t>
      </w:r>
      <w:r>
        <w:rPr>
          <w:rFonts w:ascii="Times New Roman" w:hAnsi="Times New Roman"/>
          <w:szCs w:val="24"/>
        </w:rPr>
        <w:t>——明视觉光谱光视</w:t>
      </w:r>
      <w:r>
        <w:rPr>
          <w:rFonts w:hint="eastAsia" w:ascii="Times New Roman" w:hAnsi="Times New Roman"/>
          <w:szCs w:val="24"/>
        </w:rPr>
        <w:t>效能</w:t>
      </w:r>
      <w:r>
        <w:rPr>
          <w:rFonts w:ascii="Times New Roman" w:hAnsi="Times New Roman"/>
          <w:szCs w:val="24"/>
        </w:rPr>
        <w:t>函数</w:t>
      </w:r>
      <w:r>
        <w:rPr>
          <w:rFonts w:hint="eastAsia" w:ascii="Times New Roman" w:hAnsi="Times New Roman"/>
          <w:szCs w:val="24"/>
        </w:rPr>
        <w:t>，详见表</w:t>
      </w:r>
      <w:r>
        <w:rPr>
          <w:rFonts w:ascii="Times New Roman" w:hAnsi="Times New Roman"/>
          <w:szCs w:val="24"/>
        </w:rPr>
        <w:t>C.1；</w:t>
      </w:r>
    </w:p>
    <w:p w14:paraId="40059974">
      <w:pPr>
        <w:adjustRightInd/>
        <w:spacing w:line="240" w:lineRule="auto"/>
        <w:ind w:left="1701" w:leftChars="200" w:hanging="1281" w:hangingChars="610"/>
        <w:rPr>
          <w:rFonts w:ascii="Times New Roman" w:hAnsi="Times New Roman"/>
        </w:rPr>
      </w:pPr>
      <m:oMath>
        <m:sSub>
          <m:sSubPr>
            <m:ctrlPr>
              <w:rPr>
                <w:rFonts w:ascii="Cambria Math" w:hAnsi="Cambria Math"/>
                <w:i/>
                <w:szCs w:val="24"/>
              </w:rPr>
            </m:ctrlPr>
          </m:sSubPr>
          <m:e>
            <m:r>
              <m:rPr/>
              <w:rPr>
                <w:rFonts w:ascii="Cambria Math" w:hAnsi="Cambria Math"/>
                <w:szCs w:val="24"/>
              </w:rPr>
              <m:t>Ε</m:t>
            </m:r>
            <m:ctrlPr>
              <w:rPr>
                <w:rFonts w:ascii="Cambria Math" w:hAnsi="Cambria Math"/>
                <w:i/>
                <w:szCs w:val="24"/>
              </w:rPr>
            </m:ctrlPr>
          </m:e>
          <m:sub>
            <m:r>
              <m:rPr/>
              <w:rPr>
                <w:rFonts w:ascii="Cambria Math" w:hAnsi="Cambria Math"/>
                <w:szCs w:val="24"/>
              </w:rPr>
              <m:t>e,  λ</m:t>
            </m:r>
            <m:ctrlPr>
              <w:rPr>
                <w:rFonts w:ascii="Cambria Math" w:hAnsi="Cambria Math"/>
                <w:i/>
                <w:szCs w:val="24"/>
              </w:rPr>
            </m:ctrlPr>
          </m:sub>
        </m:sSub>
        <m:d>
          <m:dPr>
            <m:ctrlPr>
              <w:rPr>
                <w:rFonts w:ascii="Cambria Math" w:hAnsi="Cambria Math"/>
                <w:i/>
                <w:szCs w:val="24"/>
              </w:rPr>
            </m:ctrlPr>
          </m:dPr>
          <m:e>
            <m:r>
              <m:rPr/>
              <w:rPr>
                <w:rFonts w:ascii="Cambria Math" w:hAnsi="Cambria Math"/>
                <w:szCs w:val="24"/>
              </w:rPr>
              <m:t>λ</m:t>
            </m:r>
            <m:ctrlPr>
              <w:rPr>
                <w:rFonts w:ascii="Cambria Math" w:hAnsi="Cambria Math"/>
                <w:i/>
                <w:szCs w:val="24"/>
              </w:rPr>
            </m:ctrlPr>
          </m:e>
        </m:d>
        <m:r>
          <m:rPr/>
          <w:rPr>
            <w:rFonts w:ascii="Cambria Math" w:hAnsi="Cambria Math"/>
            <w:szCs w:val="24"/>
          </w:rPr>
          <m:t xml:space="preserve"> </m:t>
        </m:r>
      </m:oMath>
      <w:r>
        <w:rPr>
          <w:rFonts w:ascii="宋体" w:hAnsi="宋体"/>
          <w:i/>
        </w:rPr>
        <w:t xml:space="preserve"> </w:t>
      </w:r>
      <w:r>
        <w:rPr>
          <w:rFonts w:ascii="宋体" w:hAnsi="宋体"/>
          <w:i/>
          <w:sz w:val="10"/>
          <w:szCs w:val="10"/>
        </w:rPr>
        <w:t xml:space="preserve"> </w:t>
      </w:r>
      <w:r>
        <w:rPr>
          <w:rFonts w:ascii="Times New Roman" w:hAnsi="Times New Roman"/>
        </w:rPr>
        <w:t>——</w:t>
      </w:r>
      <w:r>
        <w:rPr>
          <w:rFonts w:hint="eastAsia" w:ascii="Times New Roman" w:hAnsi="Times New Roman"/>
        </w:rPr>
        <w:t>单位面积</w:t>
      </w:r>
      <w:r>
        <w:rPr>
          <w:rFonts w:ascii="Times New Roman" w:hAnsi="Times New Roman"/>
        </w:rPr>
        <w:t>光谱</w:t>
      </w:r>
      <w:r>
        <w:rPr>
          <w:rFonts w:hint="eastAsia" w:ascii="Times New Roman" w:hAnsi="Times New Roman"/>
        </w:rPr>
        <w:t>功率密度</w:t>
      </w:r>
      <w:r>
        <w:rPr>
          <w:rFonts w:ascii="Times New Roman" w:hAnsi="Times New Roman"/>
        </w:rPr>
        <w:t>分布</w:t>
      </w:r>
      <w:r>
        <w:rPr>
          <w:rFonts w:hint="eastAsia" w:ascii="Times New Roman" w:hAnsi="Times New Roman"/>
        </w:rPr>
        <w:t>实测数值，</w:t>
      </w:r>
      <w:r>
        <w:rPr>
          <w:rFonts w:ascii="Times New Roman" w:hAnsi="Times New Roman"/>
        </w:rPr>
        <w:t>单位</w:t>
      </w:r>
      <w:r>
        <w:rPr>
          <w:rFonts w:hint="eastAsia" w:ascii="Times New Roman" w:hAnsi="Times New Roman"/>
        </w:rPr>
        <w:t>为瓦每平方米每纳米(</w:t>
      </w:r>
      <w:r>
        <w:rPr>
          <w:rFonts w:ascii="Times New Roman" w:hAnsi="Times New Roman"/>
        </w:rPr>
        <w:t>W/ m</w:t>
      </w:r>
      <w:r>
        <w:rPr>
          <w:rFonts w:ascii="Times New Roman" w:hAnsi="Times New Roman"/>
          <w:vertAlign w:val="superscript"/>
        </w:rPr>
        <w:t>2</w:t>
      </w:r>
      <w:r>
        <w:rPr>
          <w:rFonts w:hint="eastAsia" w:ascii="Times New Roman" w:hAnsi="Times New Roman"/>
        </w:rPr>
        <w:t>/</w:t>
      </w:r>
      <w:r>
        <w:rPr>
          <w:rFonts w:ascii="Times New Roman" w:hAnsi="Times New Roman"/>
        </w:rPr>
        <w:t xml:space="preserve"> nm)</w:t>
      </w:r>
      <w:r>
        <w:rPr>
          <w:rFonts w:hint="eastAsia" w:ascii="Times New Roman" w:hAnsi="Times New Roman"/>
        </w:rPr>
        <w:t>；</w:t>
      </w:r>
    </w:p>
    <w:p w14:paraId="0C8E7C39">
      <w:pPr>
        <w:pStyle w:val="59"/>
        <w:ind w:firstLine="420"/>
        <w:rPr>
          <w:rFonts w:ascii="Times New Roman"/>
          <w:kern w:val="2"/>
          <w:szCs w:val="21"/>
        </w:rPr>
      </w:pPr>
      <m:oMath>
        <m:sSub>
          <m:sSubPr>
            <m:ctrlPr>
              <w:rPr>
                <w:rFonts w:ascii="Cambria Math" w:hAnsi="Cambria Math"/>
                <w:i/>
                <w:kern w:val="2"/>
                <w:szCs w:val="24"/>
              </w:rPr>
            </m:ctrlPr>
          </m:sSubPr>
          <m:e>
            <m:r>
              <m:rPr/>
              <w:rPr>
                <w:rFonts w:ascii="Cambria Math" w:hAnsi="Cambria Math"/>
                <w:kern w:val="2"/>
                <w:szCs w:val="24"/>
              </w:rPr>
              <m:t>Ν</m:t>
            </m:r>
            <m:ctrlPr>
              <w:rPr>
                <w:rFonts w:ascii="Cambria Math" w:hAnsi="Cambria Math"/>
                <w:i/>
                <w:kern w:val="2"/>
                <w:szCs w:val="24"/>
              </w:rPr>
            </m:ctrlPr>
          </m:e>
          <m:sub>
            <m:r>
              <m:rPr/>
              <w:rPr>
                <w:rFonts w:ascii="Cambria Math" w:hAnsi="Cambria Math"/>
                <w:kern w:val="2"/>
                <w:szCs w:val="24"/>
              </w:rPr>
              <m:t>z</m:t>
            </m:r>
            <m:ctrlPr>
              <w:rPr>
                <w:rFonts w:ascii="Cambria Math" w:hAnsi="Cambria Math"/>
                <w:i/>
                <w:kern w:val="2"/>
                <w:szCs w:val="24"/>
              </w:rPr>
            </m:ctrlPr>
          </m:sub>
        </m:sSub>
        <m:d>
          <m:dPr>
            <m:ctrlPr>
              <w:rPr>
                <w:rFonts w:ascii="Cambria Math" w:hAnsi="Cambria Math"/>
                <w:i/>
                <w:kern w:val="2"/>
                <w:szCs w:val="24"/>
              </w:rPr>
            </m:ctrlPr>
          </m:dPr>
          <m:e>
            <m:r>
              <m:rPr/>
              <w:rPr>
                <w:rFonts w:ascii="Cambria Math" w:hAnsi="Cambria Math"/>
                <w:kern w:val="2"/>
                <w:szCs w:val="24"/>
              </w:rPr>
              <m:t>λ</m:t>
            </m:r>
            <m:ctrlPr>
              <w:rPr>
                <w:rFonts w:ascii="Cambria Math" w:hAnsi="Cambria Math"/>
                <w:i/>
                <w:kern w:val="2"/>
                <w:szCs w:val="24"/>
              </w:rPr>
            </m:ctrlPr>
          </m:e>
        </m:d>
      </m:oMath>
      <w:r>
        <w:rPr>
          <w:rFonts w:hint="eastAsia" w:hAnsi="宋体"/>
          <w:i/>
          <w:kern w:val="2"/>
          <w:szCs w:val="21"/>
        </w:rPr>
        <w:tab/>
      </w:r>
      <w:r>
        <w:rPr>
          <w:rFonts w:ascii="Times New Roman"/>
          <w:kern w:val="2"/>
          <w:szCs w:val="21"/>
        </w:rPr>
        <w:t>——</w:t>
      </w:r>
      <w:r>
        <w:rPr>
          <w:rFonts w:ascii="Times New Roman"/>
          <w:kern w:val="2"/>
          <w:szCs w:val="24"/>
        </w:rPr>
        <w:t>视黑素光谱光视效能函数，详见表C.1，该函数考虑了32岁标准观察者的晶状体光谱透射函数修正。</w:t>
      </w:r>
      <w:r>
        <w:rPr>
          <w:rFonts w:ascii="Times New Roman"/>
          <w:kern w:val="2"/>
          <w:szCs w:val="21"/>
        </w:rPr>
        <w:t>虽然非视觉感光细胞ipRGC的</w:t>
      </w:r>
      <w:r>
        <w:rPr>
          <w:rFonts w:ascii="Times New Roman"/>
          <w:kern w:val="2"/>
          <w:szCs w:val="24"/>
        </w:rPr>
        <w:t>光谱光视效能函数</w:t>
      </w:r>
      <w:r>
        <w:rPr>
          <w:rFonts w:ascii="Times New Roman"/>
          <w:kern w:val="2"/>
          <w:szCs w:val="21"/>
        </w:rPr>
        <w:t>峰值约为480 nm，但考虑到成人眼睛晶状体的光谱透射函数，因此表C.1中的</w:t>
      </w:r>
      <w:r>
        <w:rPr>
          <w:rFonts w:ascii="Times New Roman"/>
          <w:kern w:val="2"/>
          <w:szCs w:val="24"/>
        </w:rPr>
        <w:t>视黑素光谱光视效能函数</w:t>
      </w:r>
      <w:r>
        <w:rPr>
          <w:rFonts w:ascii="Times New Roman"/>
          <w:kern w:val="2"/>
          <w:szCs w:val="21"/>
        </w:rPr>
        <w:t>峰值为490 nm。</w:t>
      </w:r>
    </w:p>
    <w:p w14:paraId="4AA70432">
      <w:pPr>
        <w:pStyle w:val="59"/>
        <w:ind w:firstLine="420"/>
      </w:pPr>
      <w:r>
        <w:rPr>
          <w:rFonts w:hint="eastAsia"/>
        </w:rPr>
        <w:t>由于</w:t>
      </w:r>
      <m:oMath>
        <m:nary>
          <m:naryPr>
            <m:limLoc m:val="undOvr"/>
            <m:subHide m:val="1"/>
            <m:supHide m:val="1"/>
            <m:ctrlPr>
              <w:rPr>
                <w:rFonts w:ascii="Cambria Math" w:hAnsi="Cambria Math"/>
              </w:rPr>
            </m:ctrlPr>
          </m:naryPr>
          <m:sub>
            <m:ctrlPr>
              <w:rPr>
                <w:rFonts w:ascii="Cambria Math" w:hAnsi="Cambria Math"/>
              </w:rPr>
            </m:ctrlPr>
          </m:sub>
          <m:sup>
            <m:ctrlPr>
              <w:rPr>
                <w:rFonts w:ascii="Cambria Math" w:hAnsi="Cambria Math"/>
              </w:rPr>
            </m:ctrlPr>
          </m:sup>
          <m:e>
            <m:r>
              <m:rPr/>
              <w:rPr>
                <w:rFonts w:ascii="Cambria Math" w:hAnsi="Cambria Math"/>
              </w:rPr>
              <m:t>V</m:t>
            </m:r>
            <m:d>
              <m:dPr>
                <m:ctrlPr>
                  <w:rPr>
                    <w:rFonts w:ascii="Cambria Math" w:hAnsi="Cambria Math"/>
                  </w:rPr>
                </m:ctrlPr>
              </m:dPr>
              <m:e>
                <m:r>
                  <m:rPr/>
                  <w:rPr>
                    <w:rFonts w:ascii="Cambria Math" w:hAnsi="Cambria Math"/>
                  </w:rPr>
                  <m:t>λ</m:t>
                </m:r>
                <m:ctrlPr>
                  <w:rPr>
                    <w:rFonts w:ascii="Cambria Math" w:hAnsi="Cambria Math"/>
                  </w:rPr>
                </m:ctrlPr>
              </m:e>
            </m:d>
            <m:r>
              <m:rPr>
                <m:sty m:val="p"/>
              </m:rPr>
              <w:rPr>
                <w:rFonts w:ascii="Cambria Math" w:hAnsi="Cambria Math"/>
              </w:rPr>
              <m:t xml:space="preserve"> </m:t>
            </m:r>
            <m:r>
              <m:rPr/>
              <w:rPr>
                <w:rFonts w:ascii="Cambria Math" w:hAnsi="Cambria Math"/>
              </w:rPr>
              <m:t>dλ</m:t>
            </m:r>
            <m:ctrlPr>
              <w:rPr>
                <w:rFonts w:ascii="Cambria Math" w:hAnsi="Cambria Math"/>
              </w:rPr>
            </m:ctrlPr>
          </m:e>
        </m:nary>
      </m:oMath>
      <w:r>
        <w:rPr>
          <w:rFonts w:hint="eastAsia"/>
        </w:rPr>
        <w:t>数值为106.857并且</w:t>
      </w:r>
      <m:oMath>
        <m:nary>
          <m:naryPr>
            <m:limLoc m:val="undOvr"/>
            <m:subHide m:val="1"/>
            <m:supHide m:val="1"/>
            <m:ctrlPr>
              <w:rPr>
                <w:rFonts w:ascii="Cambria Math" w:hAnsi="Cambria Math"/>
              </w:rPr>
            </m:ctrlPr>
          </m:naryPr>
          <m:sub>
            <m:ctrlPr>
              <w:rPr>
                <w:rFonts w:ascii="Cambria Math" w:hAnsi="Cambria Math"/>
              </w:rPr>
            </m:ctrlPr>
          </m:sub>
          <m:sup>
            <m:ctrlPr>
              <w:rPr>
                <w:rFonts w:ascii="Cambria Math" w:hAnsi="Cambria Math"/>
              </w:rPr>
            </m:ctrlPr>
          </m:sup>
          <m:e>
            <m:sSub>
              <m:sSubPr>
                <m:ctrlPr>
                  <w:rPr>
                    <w:rFonts w:ascii="Cambria Math" w:hAnsi="Cambria Math"/>
                  </w:rPr>
                </m:ctrlPr>
              </m:sSubPr>
              <m:e>
                <m:r>
                  <m:rPr/>
                  <w:rPr>
                    <w:rFonts w:ascii="Cambria Math" w:hAnsi="Cambria Math"/>
                  </w:rPr>
                  <m:t>Ν</m:t>
                </m:r>
                <m:ctrlPr>
                  <w:rPr>
                    <w:rFonts w:ascii="Cambria Math" w:hAnsi="Cambria Math"/>
                  </w:rPr>
                </m:ctrlPr>
              </m:e>
              <m:sub>
                <m:r>
                  <m:rPr/>
                  <w:rPr>
                    <w:rFonts w:ascii="Cambria Math" w:hAnsi="Cambria Math"/>
                  </w:rPr>
                  <m:t>z</m:t>
                </m:r>
                <m:ctrlPr>
                  <w:rPr>
                    <w:rFonts w:ascii="Cambria Math" w:hAnsi="Cambria Math"/>
                  </w:rPr>
                </m:ctrlPr>
              </m:sub>
            </m:sSub>
            <m:d>
              <m:dPr>
                <m:ctrlPr>
                  <w:rPr>
                    <w:rFonts w:ascii="Cambria Math" w:hAnsi="Cambria Math"/>
                  </w:rPr>
                </m:ctrlPr>
              </m:dPr>
              <m:e>
                <m:r>
                  <m:rPr/>
                  <w:rPr>
                    <w:rFonts w:ascii="Cambria Math" w:hAnsi="Cambria Math"/>
                  </w:rPr>
                  <m:t>λ</m:t>
                </m:r>
                <m:ctrlPr>
                  <w:rPr>
                    <w:rFonts w:ascii="Cambria Math" w:hAnsi="Cambria Math"/>
                  </w:rPr>
                </m:ctrlPr>
              </m:e>
            </m:d>
            <m:r>
              <m:rPr>
                <m:sty m:val="p"/>
              </m:rPr>
              <w:rPr>
                <w:rFonts w:ascii="Cambria Math" w:hAnsi="Cambria Math"/>
              </w:rPr>
              <m:t xml:space="preserve"> </m:t>
            </m:r>
            <m:r>
              <m:rPr/>
              <w:rPr>
                <w:rFonts w:ascii="Cambria Math" w:hAnsi="Cambria Math"/>
              </w:rPr>
              <m:t>dλ</m:t>
            </m:r>
            <m:ctrlPr>
              <w:rPr>
                <w:rFonts w:ascii="Cambria Math" w:hAnsi="Cambria Math"/>
              </w:rPr>
            </m:ctrlPr>
          </m:e>
        </m:nary>
      </m:oMath>
      <w:r>
        <w:rPr>
          <w:rFonts w:hint="eastAsia"/>
        </w:rPr>
        <w:t>数值被定义为等于1，因此，可对上述公式进一步简化：</w:t>
      </w:r>
    </w:p>
    <w:p w14:paraId="032A4678">
      <w:pPr>
        <w:pStyle w:val="116"/>
        <w:rPr>
          <w:rFonts w:hint="eastAsia"/>
        </w:rPr>
      </w:pPr>
      <w:r>
        <w:tab/>
      </w:r>
      <m:oMath>
        <m:r>
          <m:rPr>
            <m:sty m:val="p"/>
          </m:rPr>
          <w:rPr>
            <w:rFonts w:ascii="Cambria Math" w:hAnsi="Cambria Math"/>
          </w:rPr>
          <m:t>EML</m:t>
        </m:r>
        <m:r>
          <m:rPr/>
          <w:rPr>
            <w:rFonts w:ascii="Cambria Math" w:hAnsi="Cambria Math"/>
          </w:rPr>
          <m:t>=72983.25</m:t>
        </m:r>
        <m:nary>
          <m:naryPr>
            <m:limLoc m:val="undOvr"/>
            <m:subHide m:val="1"/>
            <m:supHide m:val="1"/>
            <m:ctrlPr>
              <w:rPr>
                <w:rFonts w:ascii="Cambria Math" w:hAnsi="Cambria Math"/>
                <w:i/>
              </w:rPr>
            </m:ctrlPr>
          </m:naryPr>
          <m:sub>
            <m:ctrlPr>
              <w:rPr>
                <w:rFonts w:ascii="Cambria Math" w:hAnsi="Cambria Math"/>
                <w:i/>
              </w:rPr>
            </m:ctrlPr>
          </m:sub>
          <m:sup>
            <m:ctrlPr>
              <w:rPr>
                <w:rFonts w:ascii="Cambria Math" w:hAnsi="Cambria Math"/>
                <w:i/>
              </w:rPr>
            </m:ctrlPr>
          </m:sup>
          <m:e>
            <m:sSub>
              <m:sSubPr>
                <m:ctrlPr>
                  <w:rPr>
                    <w:rFonts w:ascii="Cambria Math" w:hAnsi="Cambria Math"/>
                    <w:i/>
                  </w:rPr>
                </m:ctrlPr>
              </m:sSubPr>
              <m:e>
                <m:r>
                  <m:rPr/>
                  <w:rPr>
                    <w:rFonts w:ascii="Cambria Math" w:hAnsi="Cambria Math"/>
                  </w:rPr>
                  <m:t>Ε</m:t>
                </m:r>
                <m:ctrlPr>
                  <w:rPr>
                    <w:rFonts w:ascii="Cambria Math" w:hAnsi="Cambria Math"/>
                    <w:i/>
                  </w:rPr>
                </m:ctrlPr>
              </m:e>
              <m:sub>
                <m:r>
                  <m:rPr/>
                  <w:rPr>
                    <w:rFonts w:ascii="Cambria Math" w:hAnsi="Cambria Math"/>
                  </w:rPr>
                  <m:t>e,  λ</m:t>
                </m:r>
                <m:ctrlPr>
                  <w:rPr>
                    <w:rFonts w:ascii="Cambria Math" w:hAnsi="Cambria Math"/>
                    <w:i/>
                  </w:rPr>
                </m:ctrlPr>
              </m:sub>
            </m:sSub>
            <m:d>
              <m:dPr>
                <m:ctrlPr>
                  <w:rPr>
                    <w:rFonts w:ascii="Cambria Math" w:hAnsi="Cambria Math"/>
                    <w:i/>
                  </w:rPr>
                </m:ctrlPr>
              </m:dPr>
              <m:e>
                <m:r>
                  <m:rPr/>
                  <w:rPr>
                    <w:rFonts w:ascii="Cambria Math" w:hAnsi="Cambria Math"/>
                  </w:rPr>
                  <m:t>λ</m:t>
                </m:r>
                <m:ctrlPr>
                  <w:rPr>
                    <w:rFonts w:ascii="Cambria Math" w:hAnsi="Cambria Math"/>
                    <w:i/>
                  </w:rPr>
                </m:ctrlPr>
              </m:e>
            </m:d>
            <m:r>
              <m:rPr/>
              <w:rPr>
                <w:rFonts w:ascii="Cambria Math" w:hAnsi="Cambria Math"/>
              </w:rPr>
              <m:t xml:space="preserve"> </m:t>
            </m:r>
            <m:ctrlPr>
              <w:rPr>
                <w:rFonts w:ascii="Cambria Math" w:hAnsi="Cambria Math"/>
                <w:i/>
              </w:rPr>
            </m:ctrlPr>
          </m:e>
        </m:nary>
        <m:sSub>
          <m:sSubPr>
            <m:ctrlPr>
              <w:rPr>
                <w:rFonts w:ascii="Cambria Math" w:hAnsi="Cambria Math"/>
                <w:i/>
              </w:rPr>
            </m:ctrlPr>
          </m:sSubPr>
          <m:e>
            <m:r>
              <m:rPr/>
              <w:rPr>
                <w:rFonts w:ascii="Cambria Math" w:hAnsi="Cambria Math"/>
              </w:rPr>
              <m:t>Ν</m:t>
            </m:r>
            <m:ctrlPr>
              <w:rPr>
                <w:rFonts w:ascii="Cambria Math" w:hAnsi="Cambria Math"/>
                <w:i/>
              </w:rPr>
            </m:ctrlPr>
          </m:e>
          <m:sub>
            <m:r>
              <m:rPr/>
              <w:rPr>
                <w:rFonts w:ascii="Cambria Math" w:hAnsi="Cambria Math"/>
              </w:rPr>
              <m:t>z</m:t>
            </m:r>
            <m:ctrlPr>
              <w:rPr>
                <w:rFonts w:ascii="Cambria Math" w:hAnsi="Cambria Math"/>
                <w:i/>
              </w:rPr>
            </m:ctrlPr>
          </m:sub>
        </m:sSub>
        <m:d>
          <m:dPr>
            <m:ctrlPr>
              <w:rPr>
                <w:rFonts w:ascii="Cambria Math" w:hAnsi="Cambria Math"/>
                <w:i/>
              </w:rPr>
            </m:ctrlPr>
          </m:dPr>
          <m:e>
            <m:r>
              <m:rPr/>
              <w:rPr>
                <w:rFonts w:ascii="Cambria Math" w:hAnsi="Cambria Math"/>
              </w:rPr>
              <m:t>λ</m:t>
            </m:r>
            <m:ctrlPr>
              <w:rPr>
                <w:rFonts w:ascii="Cambria Math" w:hAnsi="Cambria Math"/>
                <w:i/>
              </w:rPr>
            </m:ctrlPr>
          </m:e>
        </m:d>
        <m:r>
          <m:rPr/>
          <w:rPr>
            <w:rFonts w:ascii="Cambria Math" w:hAnsi="Cambria Math"/>
          </w:rPr>
          <m:t xml:space="preserve"> dλ </m:t>
        </m:r>
      </m:oMath>
      <w:r>
        <w:rPr>
          <w:rFonts w:ascii="微软雅黑" w:hAnsi="微软雅黑" w:eastAsia="微软雅黑"/>
        </w:rPr>
        <w:tab/>
      </w:r>
      <w:r>
        <w:rPr>
          <w:rFonts w:ascii="Times New Roman" w:hAnsi="Times New Roman"/>
        </w:rPr>
        <w:t>(C.</w:t>
      </w:r>
      <w:r>
        <w:rPr>
          <w:rFonts w:ascii="Times New Roman" w:hAnsi="Times New Roman"/>
        </w:rPr>
        <w:fldChar w:fldCharType="begin"/>
      </w:r>
      <w:r>
        <w:rPr>
          <w:rFonts w:ascii="Times New Roman" w:hAnsi="Times New Roman"/>
        </w:rPr>
        <w:instrText xml:space="preserve">  seq fulu_equation_133487169653666456  </w:instrText>
      </w:r>
      <w:r>
        <w:rPr>
          <w:rFonts w:ascii="Times New Roman" w:hAnsi="Times New Roman"/>
        </w:rPr>
        <w:fldChar w:fldCharType="separate"/>
      </w:r>
      <w:r>
        <w:rPr>
          <w:rFonts w:ascii="Times New Roman" w:hAnsi="Times New Roman"/>
        </w:rPr>
        <w:t>2</w:t>
      </w:r>
      <w:r>
        <w:rPr>
          <w:rFonts w:ascii="Times New Roman" w:hAnsi="Times New Roman"/>
        </w:rPr>
        <w:fldChar w:fldCharType="end"/>
      </w:r>
      <w:r>
        <w:rPr>
          <w:rFonts w:ascii="Times New Roman" w:hAnsi="Times New Roman"/>
        </w:rPr>
        <w:t>)</w:t>
      </w:r>
    </w:p>
    <w:p w14:paraId="01820CB6">
      <w:pPr>
        <w:pStyle w:val="182"/>
        <w:rPr>
          <w:rFonts w:ascii="Times New Roman"/>
          <w:lang w:eastAsia="zh-Hans"/>
        </w:rPr>
      </w:pPr>
      <w:r>
        <w:rPr>
          <w:rFonts w:hint="eastAsia" w:ascii="Times New Roman"/>
          <w:lang w:eastAsia="zh-Hans"/>
        </w:rPr>
        <w:t>此表达式为简化后公式，为方便计算。</w:t>
      </w:r>
    </w:p>
    <w:p w14:paraId="4A9A55AA">
      <w:pPr>
        <w:pStyle w:val="81"/>
        <w:numPr>
          <w:ilvl w:val="1"/>
          <w:numId w:val="0"/>
        </w:numPr>
        <w:spacing w:before="120" w:after="120"/>
      </w:pPr>
      <w:bookmarkStart w:id="231" w:name="_Toc156198524"/>
      <w:bookmarkStart w:id="232" w:name="_Toc13709"/>
      <w:r>
        <w:rPr>
          <w:rFonts w:hint="eastAsia"/>
        </w:rPr>
        <w:t>C.4　视黑素响</w:t>
      </w:r>
      <w:r>
        <w:rPr>
          <w:rFonts w:ascii="Times New Roman"/>
        </w:rPr>
        <w:t>应日光（D65）等效照度m-EDI的计算方法</w:t>
      </w:r>
      <w:bookmarkEnd w:id="231"/>
      <w:bookmarkEnd w:id="232"/>
    </w:p>
    <w:p w14:paraId="6B790795">
      <w:pPr>
        <w:pStyle w:val="59"/>
        <w:ind w:firstLine="420"/>
        <w:rPr>
          <w:rFonts w:ascii="Times New Roman"/>
        </w:rPr>
      </w:pPr>
      <w:r>
        <w:rPr>
          <w:rFonts w:ascii="Times New Roman"/>
        </w:rPr>
        <w:t>国际照明委员会（CIE）对m-EDI的数值计算方法给出了说明，具体表达公式如下：</w:t>
      </w:r>
    </w:p>
    <w:p w14:paraId="4A62D688">
      <w:pPr>
        <w:pStyle w:val="116"/>
        <w:rPr>
          <w:rFonts w:hint="eastAsia"/>
        </w:rPr>
      </w:pPr>
      <w:r>
        <w:tab/>
      </w:r>
      <m:oMath>
        <m:r>
          <m:rPr>
            <m:sty m:val="p"/>
          </m:rPr>
          <w:rPr>
            <w:rFonts w:ascii="Cambria Math" w:hAnsi="Cambria Math"/>
          </w:rPr>
          <m:t>m</m:t>
        </m:r>
        <m:r>
          <m:rPr>
            <m:sty m:val="p"/>
          </m:rPr>
          <w:rPr>
            <w:rFonts w:hint="eastAsia" w:ascii="Cambria Math" w:hAnsi="Cambria Math"/>
          </w:rPr>
          <m:t>­</m:t>
        </m:r>
        <m:r>
          <m:rPr>
            <m:sty m:val="p"/>
          </m:rPr>
          <w:rPr>
            <w:rFonts w:ascii="Cambria Math" w:hAnsi="Cambria Math"/>
          </w:rPr>
          <m:t>EDI=</m:t>
        </m:r>
        <m:f>
          <m:fPr>
            <m:ctrlPr>
              <w:rPr>
                <w:rFonts w:ascii="Cambria Math" w:hAnsi="Cambria Math"/>
                <w:i/>
                <w:iCs/>
              </w:rPr>
            </m:ctrlPr>
          </m:fPr>
          <m:num>
            <m:nary>
              <m:naryPr>
                <m:subHide m:val="1"/>
                <m:supHide m:val="1"/>
                <m:ctrlPr>
                  <w:rPr>
                    <w:rFonts w:ascii="Cambria Math" w:hAnsi="Cambria Math"/>
                    <w:i/>
                    <w:iCs/>
                  </w:rPr>
                </m:ctrlPr>
              </m:naryPr>
              <m:sub>
                <m:ctrlPr>
                  <w:rPr>
                    <w:rFonts w:ascii="Cambria Math" w:hAnsi="Cambria Math"/>
                    <w:i/>
                    <w:iCs/>
                  </w:rPr>
                </m:ctrlPr>
              </m:sub>
              <m:sup>
                <m:ctrlPr>
                  <w:rPr>
                    <w:rFonts w:ascii="Cambria Math" w:hAnsi="Cambria Math"/>
                    <w:i/>
                    <w:iCs/>
                  </w:rPr>
                </m:ctrlPr>
              </m:sup>
              <m:e>
                <m:sSub>
                  <m:sSubPr>
                    <m:ctrlPr>
                      <w:rPr>
                        <w:rFonts w:ascii="Cambria Math" w:hAnsi="Cambria Math"/>
                        <w:i/>
                        <w:iCs/>
                      </w:rPr>
                    </m:ctrlPr>
                  </m:sSubPr>
                  <m:e>
                    <m:r>
                      <m:rPr/>
                      <w:rPr>
                        <w:rFonts w:hint="eastAsia" w:ascii="Cambria Math" w:hAnsi="Cambria Math"/>
                      </w:rPr>
                      <m:t>E</m:t>
                    </m:r>
                    <m:ctrlPr>
                      <w:rPr>
                        <w:rFonts w:ascii="Cambria Math" w:hAnsi="Cambria Math"/>
                        <w:i/>
                        <w:iCs/>
                      </w:rPr>
                    </m:ctrlPr>
                  </m:e>
                  <m:sub>
                    <m:r>
                      <m:rPr/>
                      <w:rPr>
                        <w:rFonts w:hint="eastAsia" w:ascii="Cambria Math" w:hAnsi="Cambria Math"/>
                      </w:rPr>
                      <m:t>e</m:t>
                    </m:r>
                    <m:r>
                      <m:rPr>
                        <m:sty m:val="p"/>
                      </m:rPr>
                      <w:rPr>
                        <w:rFonts w:ascii="Cambria Math" w:hAnsi="Cambria Math"/>
                      </w:rPr>
                      <m:t>,</m:t>
                    </m:r>
                    <m:r>
                      <m:rPr/>
                      <w:rPr>
                        <w:rFonts w:hint="eastAsia" w:ascii="Cambria Math" w:hAnsi="Cambria Math"/>
                      </w:rPr>
                      <m:t>λ</m:t>
                    </m:r>
                    <m:ctrlPr>
                      <w:rPr>
                        <w:rFonts w:ascii="Cambria Math" w:hAnsi="Cambria Math"/>
                        <w:i/>
                        <w:iCs/>
                      </w:rPr>
                    </m:ctrlPr>
                  </m:sub>
                </m:sSub>
                <m:r>
                  <m:rPr>
                    <m:sty m:val="p"/>
                  </m:rPr>
                  <w:rPr>
                    <w:rFonts w:ascii="Cambria Math" w:hAnsi="Cambria Math"/>
                  </w:rPr>
                  <m:t>(</m:t>
                </m:r>
                <m:r>
                  <m:rPr/>
                  <w:rPr>
                    <w:rFonts w:hint="eastAsia" w:ascii="Cambria Math" w:hAnsi="Cambria Math"/>
                  </w:rPr>
                  <m:t>λ</m:t>
                </m:r>
                <m:r>
                  <m:rPr>
                    <m:sty m:val="p"/>
                  </m:rPr>
                  <w:rPr>
                    <w:rFonts w:ascii="Cambria Math" w:hAnsi="Cambria Math"/>
                  </w:rPr>
                  <m:t>)</m:t>
                </m:r>
                <m:sSub>
                  <m:sSubPr>
                    <m:ctrlPr>
                      <w:rPr>
                        <w:rFonts w:ascii="Cambria Math" w:hAnsi="Cambria Math"/>
                        <w:i/>
                        <w:iCs/>
                      </w:rPr>
                    </m:ctrlPr>
                  </m:sSubPr>
                  <m:e>
                    <m:r>
                      <m:rPr/>
                      <w:rPr>
                        <w:rFonts w:hint="eastAsia" w:ascii="Cambria Math" w:hAnsi="Cambria Math"/>
                      </w:rPr>
                      <m:t>s</m:t>
                    </m:r>
                    <m:ctrlPr>
                      <w:rPr>
                        <w:rFonts w:ascii="Cambria Math" w:hAnsi="Cambria Math"/>
                        <w:i/>
                        <w:iCs/>
                      </w:rPr>
                    </m:ctrlPr>
                  </m:e>
                  <m:sub>
                    <m:r>
                      <m:rPr/>
                      <w:rPr>
                        <w:rFonts w:hint="eastAsia" w:ascii="Cambria Math" w:hAnsi="Cambria Math"/>
                      </w:rPr>
                      <m:t>mel</m:t>
                    </m:r>
                    <m:ctrlPr>
                      <w:rPr>
                        <w:rFonts w:ascii="Cambria Math" w:hAnsi="Cambria Math"/>
                        <w:i/>
                        <w:iCs/>
                      </w:rPr>
                    </m:ctrlPr>
                  </m:sub>
                </m:sSub>
                <m:r>
                  <m:rPr>
                    <m:sty m:val="p"/>
                  </m:rPr>
                  <w:rPr>
                    <w:rFonts w:ascii="Cambria Math" w:hAnsi="Cambria Math"/>
                  </w:rPr>
                  <m:t>(</m:t>
                </m:r>
                <m:r>
                  <m:rPr/>
                  <w:rPr>
                    <w:rFonts w:hint="eastAsia" w:ascii="Cambria Math" w:hAnsi="Cambria Math"/>
                  </w:rPr>
                  <m:t>λ</m:t>
                </m:r>
                <m:r>
                  <m:rPr>
                    <m:sty m:val="p"/>
                  </m:rPr>
                  <w:rPr>
                    <w:rFonts w:ascii="Cambria Math" w:hAnsi="Cambria Math"/>
                  </w:rPr>
                  <m:t>)</m:t>
                </m:r>
                <m:r>
                  <m:rPr/>
                  <w:rPr>
                    <w:rFonts w:hint="eastAsia" w:ascii="Cambria Math" w:hAnsi="Cambria Math"/>
                  </w:rPr>
                  <m:t>dλ</m:t>
                </m:r>
                <m:ctrlPr>
                  <w:rPr>
                    <w:rFonts w:ascii="Cambria Math" w:hAnsi="Cambria Math"/>
                    <w:i/>
                    <w:iCs/>
                  </w:rPr>
                </m:ctrlPr>
              </m:e>
            </m:nary>
            <m:ctrlPr>
              <w:rPr>
                <w:rFonts w:ascii="Cambria Math" w:hAnsi="Cambria Math"/>
                <w:i/>
                <w:iCs/>
              </w:rPr>
            </m:ctrlPr>
          </m:num>
          <m:den>
            <m:sSubSup>
              <m:sSubSupPr>
                <m:ctrlPr>
                  <w:rPr>
                    <w:rFonts w:ascii="Cambria Math" w:hAnsi="Cambria Math"/>
                    <w:i/>
                    <w:iCs/>
                  </w:rPr>
                </m:ctrlPr>
              </m:sSubSupPr>
              <m:e>
                <m:r>
                  <m:rPr/>
                  <w:rPr>
                    <w:rFonts w:hint="eastAsia" w:ascii="Cambria Math" w:hAnsi="Cambria Math"/>
                  </w:rPr>
                  <m:t>K</m:t>
                </m:r>
                <m:ctrlPr>
                  <w:rPr>
                    <w:rFonts w:ascii="Cambria Math" w:hAnsi="Cambria Math"/>
                    <w:i/>
                    <w:iCs/>
                  </w:rPr>
                </m:ctrlPr>
              </m:e>
              <m:sub>
                <m:r>
                  <m:rPr/>
                  <w:rPr>
                    <w:rFonts w:hint="eastAsia" w:ascii="Cambria Math" w:hAnsi="Cambria Math"/>
                  </w:rPr>
                  <m:t>mel</m:t>
                </m:r>
                <m:r>
                  <m:rPr>
                    <m:sty m:val="p"/>
                  </m:rPr>
                  <w:rPr>
                    <w:rFonts w:ascii="Cambria Math" w:hAnsi="Cambria Math"/>
                  </w:rPr>
                  <m:t>,</m:t>
                </m:r>
                <m:r>
                  <m:rPr/>
                  <w:rPr>
                    <w:rFonts w:hint="eastAsia" w:ascii="Cambria Math" w:hAnsi="Cambria Math"/>
                  </w:rPr>
                  <m:t>V</m:t>
                </m:r>
                <m:ctrlPr>
                  <w:rPr>
                    <w:rFonts w:ascii="Cambria Math" w:hAnsi="Cambria Math"/>
                    <w:i/>
                    <w:iCs/>
                  </w:rPr>
                </m:ctrlPr>
              </m:sub>
              <m:sup>
                <m:r>
                  <m:rPr/>
                  <w:rPr>
                    <w:rFonts w:hint="eastAsia" w:ascii="Cambria Math" w:hAnsi="Cambria Math"/>
                  </w:rPr>
                  <m:t>D</m:t>
                </m:r>
                <m:r>
                  <m:rPr>
                    <m:sty m:val="p"/>
                  </m:rPr>
                  <w:rPr>
                    <w:rFonts w:ascii="Cambria Math" w:hAnsi="Cambria Math"/>
                  </w:rPr>
                  <m:t>65</m:t>
                </m:r>
                <m:ctrlPr>
                  <w:rPr>
                    <w:rFonts w:ascii="Cambria Math" w:hAnsi="Cambria Math"/>
                    <w:i/>
                    <w:iCs/>
                  </w:rPr>
                </m:ctrlPr>
              </m:sup>
            </m:sSubSup>
            <m:ctrlPr>
              <w:rPr>
                <w:rFonts w:ascii="Cambria Math" w:hAnsi="Cambria Math"/>
                <w:i/>
                <w:iCs/>
              </w:rPr>
            </m:ctrlPr>
          </m:den>
        </m:f>
        <m:r>
          <m:rPr>
            <m:sty m:val="p"/>
          </m:rPr>
          <w:rPr>
            <w:rFonts w:ascii="Cambria Math" w:hAnsi="Cambria Math"/>
          </w:rPr>
          <m:t>=</m:t>
        </m:r>
        <m:f>
          <m:fPr>
            <m:ctrlPr>
              <w:rPr>
                <w:rFonts w:ascii="Cambria Math" w:hAnsi="Cambria Math"/>
                <w:i/>
                <w:iCs/>
              </w:rPr>
            </m:ctrlPr>
          </m:fPr>
          <m:num>
            <m:nary>
              <m:naryPr>
                <m:subHide m:val="1"/>
                <m:supHide m:val="1"/>
                <m:ctrlPr>
                  <w:rPr>
                    <w:rFonts w:ascii="Cambria Math" w:hAnsi="Cambria Math"/>
                    <w:i/>
                    <w:iCs/>
                  </w:rPr>
                </m:ctrlPr>
              </m:naryPr>
              <m:sub>
                <m:ctrlPr>
                  <w:rPr>
                    <w:rFonts w:ascii="Cambria Math" w:hAnsi="Cambria Math"/>
                    <w:i/>
                    <w:iCs/>
                  </w:rPr>
                </m:ctrlPr>
              </m:sub>
              <m:sup>
                <m:ctrlPr>
                  <w:rPr>
                    <w:rFonts w:ascii="Cambria Math" w:hAnsi="Cambria Math"/>
                    <w:i/>
                    <w:iCs/>
                  </w:rPr>
                </m:ctrlPr>
              </m:sup>
              <m:e>
                <m:sSub>
                  <m:sSubPr>
                    <m:ctrlPr>
                      <w:rPr>
                        <w:rFonts w:ascii="Cambria Math" w:hAnsi="Cambria Math"/>
                        <w:i/>
                        <w:iCs/>
                      </w:rPr>
                    </m:ctrlPr>
                  </m:sSubPr>
                  <m:e>
                    <m:r>
                      <m:rPr/>
                      <w:rPr>
                        <w:rFonts w:hint="eastAsia" w:ascii="Cambria Math" w:hAnsi="Cambria Math"/>
                      </w:rPr>
                      <m:t>E</m:t>
                    </m:r>
                    <m:ctrlPr>
                      <w:rPr>
                        <w:rFonts w:ascii="Cambria Math" w:hAnsi="Cambria Math"/>
                        <w:i/>
                        <w:iCs/>
                      </w:rPr>
                    </m:ctrlPr>
                  </m:e>
                  <m:sub>
                    <m:r>
                      <m:rPr/>
                      <w:rPr>
                        <w:rFonts w:hint="eastAsia" w:ascii="Cambria Math" w:hAnsi="Cambria Math"/>
                      </w:rPr>
                      <m:t>e</m:t>
                    </m:r>
                    <m:r>
                      <m:rPr>
                        <m:sty m:val="p"/>
                      </m:rPr>
                      <w:rPr>
                        <w:rFonts w:ascii="Cambria Math" w:hAnsi="Cambria Math"/>
                      </w:rPr>
                      <m:t>,</m:t>
                    </m:r>
                    <m:r>
                      <m:rPr/>
                      <w:rPr>
                        <w:rFonts w:hint="eastAsia" w:ascii="Cambria Math" w:hAnsi="Cambria Math"/>
                      </w:rPr>
                      <m:t>λ</m:t>
                    </m:r>
                    <m:ctrlPr>
                      <w:rPr>
                        <w:rFonts w:ascii="Cambria Math" w:hAnsi="Cambria Math"/>
                        <w:i/>
                        <w:iCs/>
                      </w:rPr>
                    </m:ctrlPr>
                  </m:sub>
                </m:sSub>
                <m:r>
                  <m:rPr>
                    <m:sty m:val="p"/>
                  </m:rPr>
                  <w:rPr>
                    <w:rFonts w:ascii="Cambria Math" w:hAnsi="Cambria Math"/>
                  </w:rPr>
                  <m:t>(</m:t>
                </m:r>
                <m:r>
                  <m:rPr/>
                  <w:rPr>
                    <w:rFonts w:hint="eastAsia" w:ascii="Cambria Math" w:hAnsi="Cambria Math"/>
                  </w:rPr>
                  <m:t>λ</m:t>
                </m:r>
                <m:r>
                  <m:rPr>
                    <m:sty m:val="p"/>
                  </m:rPr>
                  <w:rPr>
                    <w:rFonts w:ascii="Cambria Math" w:hAnsi="Cambria Math"/>
                  </w:rPr>
                  <m:t>)</m:t>
                </m:r>
                <m:sSub>
                  <m:sSubPr>
                    <m:ctrlPr>
                      <w:rPr>
                        <w:rFonts w:ascii="Cambria Math" w:hAnsi="Cambria Math"/>
                        <w:i/>
                        <w:iCs/>
                      </w:rPr>
                    </m:ctrlPr>
                  </m:sSubPr>
                  <m:e>
                    <m:r>
                      <m:rPr/>
                      <w:rPr>
                        <w:rFonts w:hint="eastAsia" w:ascii="Cambria Math" w:hAnsi="Cambria Math"/>
                      </w:rPr>
                      <m:t>s</m:t>
                    </m:r>
                    <m:ctrlPr>
                      <w:rPr>
                        <w:rFonts w:ascii="Cambria Math" w:hAnsi="Cambria Math"/>
                        <w:i/>
                        <w:iCs/>
                      </w:rPr>
                    </m:ctrlPr>
                  </m:e>
                  <m:sub>
                    <m:r>
                      <m:rPr/>
                      <w:rPr>
                        <w:rFonts w:hint="eastAsia" w:ascii="Cambria Math" w:hAnsi="Cambria Math"/>
                      </w:rPr>
                      <m:t>mel</m:t>
                    </m:r>
                    <m:ctrlPr>
                      <w:rPr>
                        <w:rFonts w:ascii="Cambria Math" w:hAnsi="Cambria Math"/>
                        <w:i/>
                        <w:iCs/>
                      </w:rPr>
                    </m:ctrlPr>
                  </m:sub>
                </m:sSub>
                <m:r>
                  <m:rPr>
                    <m:sty m:val="p"/>
                  </m:rPr>
                  <w:rPr>
                    <w:rFonts w:ascii="Cambria Math" w:hAnsi="Cambria Math"/>
                  </w:rPr>
                  <m:t>(</m:t>
                </m:r>
                <m:r>
                  <m:rPr/>
                  <w:rPr>
                    <w:rFonts w:hint="eastAsia" w:ascii="Cambria Math" w:hAnsi="Cambria Math"/>
                  </w:rPr>
                  <m:t>λ</m:t>
                </m:r>
                <m:r>
                  <m:rPr>
                    <m:sty m:val="p"/>
                  </m:rPr>
                  <w:rPr>
                    <w:rFonts w:ascii="Cambria Math" w:hAnsi="Cambria Math"/>
                  </w:rPr>
                  <m:t>)</m:t>
                </m:r>
                <m:r>
                  <m:rPr/>
                  <w:rPr>
                    <w:rFonts w:hint="eastAsia" w:ascii="Cambria Math" w:hAnsi="Cambria Math"/>
                  </w:rPr>
                  <m:t>dλ</m:t>
                </m:r>
                <m:ctrlPr>
                  <w:rPr>
                    <w:rFonts w:ascii="Cambria Math" w:hAnsi="Cambria Math"/>
                    <w:i/>
                    <w:iCs/>
                  </w:rPr>
                </m:ctrlPr>
              </m:e>
            </m:nary>
            <m:ctrlPr>
              <w:rPr>
                <w:rFonts w:ascii="Cambria Math" w:hAnsi="Cambria Math"/>
                <w:i/>
                <w:iCs/>
              </w:rPr>
            </m:ctrlPr>
          </m:num>
          <m:den>
            <m:r>
              <m:rPr>
                <m:sty m:val="p"/>
              </m:rPr>
              <w:rPr>
                <w:rFonts w:ascii="Cambria Math" w:hAnsi="Cambria Math"/>
              </w:rPr>
              <m:t xml:space="preserve">1.3262 </m:t>
            </m:r>
            <m:r>
              <m:rPr/>
              <w:rPr>
                <w:rFonts w:hint="eastAsia" w:ascii="Cambria Math" w:hAnsi="Cambria Math"/>
              </w:rPr>
              <m:t>mW</m:t>
            </m:r>
            <m:r>
              <m:rPr>
                <m:sty m:val="p"/>
              </m:rPr>
              <w:rPr>
                <w:rFonts w:ascii="Cambria Math" w:hAnsi="Cambria Math"/>
              </w:rPr>
              <m:t>∙</m:t>
            </m:r>
            <m:sSup>
              <m:sSupPr>
                <m:ctrlPr>
                  <w:rPr>
                    <w:rFonts w:ascii="Cambria Math" w:hAnsi="Cambria Math"/>
                    <w:i/>
                    <w:iCs/>
                  </w:rPr>
                </m:ctrlPr>
              </m:sSupPr>
              <m:e>
                <m:r>
                  <m:rPr/>
                  <w:rPr>
                    <w:rFonts w:hint="eastAsia" w:ascii="Cambria Math" w:hAnsi="Cambria Math"/>
                  </w:rPr>
                  <m:t>lm</m:t>
                </m:r>
                <m:ctrlPr>
                  <w:rPr>
                    <w:rFonts w:ascii="Cambria Math" w:hAnsi="Cambria Math"/>
                    <w:i/>
                    <w:iCs/>
                  </w:rPr>
                </m:ctrlPr>
              </m:e>
              <m:sup>
                <m:r>
                  <m:rPr>
                    <m:sty m:val="p"/>
                  </m:rPr>
                  <w:rPr>
                    <w:rFonts w:ascii="Cambria Math" w:hAnsi="Cambria Math"/>
                  </w:rPr>
                  <m:t>−1</m:t>
                </m:r>
                <m:ctrlPr>
                  <w:rPr>
                    <w:rFonts w:ascii="Cambria Math" w:hAnsi="Cambria Math"/>
                    <w:i/>
                    <w:iCs/>
                  </w:rPr>
                </m:ctrlPr>
              </m:sup>
            </m:sSup>
            <m:ctrlPr>
              <w:rPr>
                <w:rFonts w:ascii="Cambria Math" w:hAnsi="Cambria Math"/>
                <w:i/>
                <w:iCs/>
              </w:rPr>
            </m:ctrlPr>
          </m:den>
        </m:f>
        <m:r>
          <m:rPr>
            <m:sty m:val="p"/>
          </m:rPr>
          <w:rPr>
            <w:rFonts w:ascii="Cambria Math" w:hAnsi="Cambria Math"/>
          </w:rPr>
          <m:t xml:space="preserve"> </m:t>
        </m:r>
      </m:oMath>
      <w:r>
        <w:rPr>
          <w:rFonts w:ascii="微软雅黑" w:hAnsi="微软雅黑" w:eastAsia="微软雅黑"/>
        </w:rPr>
        <w:tab/>
      </w:r>
      <w:r>
        <w:t>(</w:t>
      </w:r>
      <w:r>
        <w:rPr>
          <w:rFonts w:ascii="Times New Roman" w:hAnsi="Times New Roman"/>
        </w:rPr>
        <w:t>C.</w:t>
      </w:r>
      <w:r>
        <w:rPr>
          <w:rFonts w:ascii="Times New Roman" w:hAnsi="Times New Roman"/>
        </w:rPr>
        <w:fldChar w:fldCharType="begin"/>
      </w:r>
      <w:r>
        <w:rPr>
          <w:rFonts w:ascii="Times New Roman" w:hAnsi="Times New Roman"/>
        </w:rPr>
        <w:instrText xml:space="preserve">  seq fulu_equation_133487169653666456  </w:instrText>
      </w:r>
      <w:r>
        <w:rPr>
          <w:rFonts w:ascii="Times New Roman" w:hAnsi="Times New Roman"/>
        </w:rPr>
        <w:fldChar w:fldCharType="separate"/>
      </w:r>
      <w:r>
        <w:rPr>
          <w:rFonts w:ascii="Times New Roman" w:hAnsi="Times New Roman"/>
        </w:rPr>
        <w:t>3</w:t>
      </w:r>
      <w:r>
        <w:rPr>
          <w:rFonts w:ascii="Times New Roman" w:hAnsi="Times New Roman"/>
        </w:rPr>
        <w:fldChar w:fldCharType="end"/>
      </w:r>
      <w:r>
        <w:t>)</w:t>
      </w:r>
    </w:p>
    <w:p w14:paraId="5C6D9E8A">
      <w:pPr>
        <w:pStyle w:val="58"/>
        <w:ind w:firstLine="420"/>
      </w:pPr>
      <w:r>
        <w:rPr>
          <w:rFonts w:hint="eastAsia"/>
        </w:rPr>
        <w:t>式中：</w:t>
      </w:r>
    </w:p>
    <w:p w14:paraId="4B2C601C">
      <w:pPr>
        <w:adjustRightInd/>
        <w:spacing w:line="240" w:lineRule="auto"/>
        <w:ind w:left="420" w:leftChars="200"/>
        <w:rPr>
          <w:rFonts w:ascii="Times New Roman" w:hAnsi="Times New Roman"/>
        </w:rPr>
      </w:pPr>
      <m:oMath>
        <m:r>
          <m:rPr/>
          <w:rPr>
            <w:rFonts w:ascii="Cambria Math" w:hAnsi="Cambria Math"/>
            <w:szCs w:val="24"/>
          </w:rPr>
          <m:t>λ</m:t>
        </m:r>
      </m:oMath>
      <w:r>
        <w:rPr>
          <w:rFonts w:hint="eastAsia" w:ascii="宋体" w:hAnsi="宋体"/>
          <w:i/>
        </w:rPr>
        <w:tab/>
      </w:r>
      <w:r>
        <w:rPr>
          <w:rFonts w:hint="eastAsia" w:ascii="宋体" w:hAnsi="宋体"/>
          <w:i/>
        </w:rPr>
        <w:tab/>
      </w:r>
      <w:r>
        <w:rPr>
          <w:rFonts w:ascii="Times New Roman" w:hAnsi="Times New Roman"/>
        </w:rPr>
        <w:t>——</w:t>
      </w:r>
      <w:r>
        <w:rPr>
          <w:rFonts w:hint="eastAsia" w:ascii="Times New Roman" w:hAnsi="Times New Roman"/>
        </w:rPr>
        <w:t>可见光波长，单位为纳米（</w:t>
      </w:r>
      <w:r>
        <w:rPr>
          <w:rFonts w:ascii="Times New Roman" w:hAnsi="Times New Roman"/>
        </w:rPr>
        <w:t>nm</w:t>
      </w:r>
      <w:r>
        <w:rPr>
          <w:rFonts w:hint="eastAsia" w:ascii="Times New Roman" w:hAnsi="Times New Roman"/>
        </w:rPr>
        <w:t>），范围为3</w:t>
      </w:r>
      <w:r>
        <w:rPr>
          <w:rFonts w:ascii="Times New Roman" w:hAnsi="Times New Roman"/>
        </w:rPr>
        <w:t xml:space="preserve">80 ~ 780 </w:t>
      </w:r>
      <w:r>
        <w:rPr>
          <w:rFonts w:hint="eastAsia" w:ascii="Times New Roman" w:hAnsi="Times New Roman"/>
        </w:rPr>
        <w:t>nm</w:t>
      </w:r>
      <w:r>
        <w:rPr>
          <w:rFonts w:ascii="Times New Roman" w:hAnsi="Times New Roman"/>
        </w:rPr>
        <w:t>；</w:t>
      </w:r>
    </w:p>
    <w:p w14:paraId="4957AF37">
      <w:pPr>
        <w:adjustRightInd/>
        <w:spacing w:line="240" w:lineRule="auto"/>
        <w:ind w:left="420" w:leftChars="200"/>
        <w:rPr>
          <w:rFonts w:ascii="Times New Roman" w:hAnsi="Times New Roman"/>
          <w:szCs w:val="24"/>
        </w:rPr>
      </w:pPr>
      <m:oMath>
        <m:sSubSup>
          <m:sSubSupPr>
            <m:ctrlPr>
              <w:rPr>
                <w:rFonts w:ascii="Cambria Math" w:hAnsi="Cambria Math"/>
                <w:i/>
                <w:iCs/>
              </w:rPr>
            </m:ctrlPr>
          </m:sSubSupPr>
          <m:e>
            <m:r>
              <m:rPr/>
              <w:rPr>
                <w:rFonts w:hint="eastAsia" w:ascii="Cambria Math" w:hAnsi="Cambria Math"/>
              </w:rPr>
              <m:t>K</m:t>
            </m:r>
            <m:ctrlPr>
              <w:rPr>
                <w:rFonts w:ascii="Cambria Math" w:hAnsi="Cambria Math"/>
                <w:i/>
                <w:iCs/>
              </w:rPr>
            </m:ctrlPr>
          </m:e>
          <m:sub>
            <m:r>
              <m:rPr/>
              <w:rPr>
                <w:rFonts w:hint="eastAsia" w:ascii="Cambria Math" w:hAnsi="Cambria Math"/>
              </w:rPr>
              <m:t>mel</m:t>
            </m:r>
            <m:r>
              <m:rPr>
                <m:sty m:val="p"/>
              </m:rPr>
              <w:rPr>
                <w:rFonts w:ascii="Cambria Math" w:hAnsi="Cambria Math"/>
              </w:rPr>
              <m:t>,</m:t>
            </m:r>
            <m:r>
              <m:rPr/>
              <w:rPr>
                <w:rFonts w:hint="eastAsia" w:ascii="Cambria Math" w:hAnsi="Cambria Math"/>
              </w:rPr>
              <m:t>V</m:t>
            </m:r>
            <m:ctrlPr>
              <w:rPr>
                <w:rFonts w:ascii="Cambria Math" w:hAnsi="Cambria Math"/>
                <w:i/>
                <w:iCs/>
              </w:rPr>
            </m:ctrlPr>
          </m:sub>
          <m:sup>
            <m:r>
              <m:rPr/>
              <w:rPr>
                <w:rFonts w:hint="eastAsia" w:ascii="Cambria Math" w:hAnsi="Cambria Math"/>
              </w:rPr>
              <m:t>D</m:t>
            </m:r>
            <m:r>
              <m:rPr>
                <m:sty m:val="p"/>
              </m:rPr>
              <w:rPr>
                <w:rFonts w:ascii="Cambria Math" w:hAnsi="Cambria Math"/>
              </w:rPr>
              <m:t>65</m:t>
            </m:r>
            <m:ctrlPr>
              <w:rPr>
                <w:rFonts w:ascii="Cambria Math" w:hAnsi="Cambria Math"/>
                <w:i/>
                <w:iCs/>
              </w:rPr>
            </m:ctrlPr>
          </m:sup>
        </m:sSubSup>
      </m:oMath>
      <w:r>
        <w:rPr>
          <w:rFonts w:hint="eastAsia" w:ascii="宋体" w:hAnsi="宋体"/>
          <w:i/>
        </w:rPr>
        <w:tab/>
      </w:r>
      <w:r>
        <w:rPr>
          <w:rFonts w:ascii="Times New Roman" w:hAnsi="Times New Roman"/>
          <w:szCs w:val="24"/>
        </w:rPr>
        <w:t>——常数，</w:t>
      </w:r>
      <w:r>
        <w:rPr>
          <w:rFonts w:hint="eastAsia" w:ascii="Times New Roman" w:hAnsi="Times New Roman"/>
          <w:szCs w:val="24"/>
        </w:rPr>
        <w:t>日光（D65）辐射视黑素的效能，</w:t>
      </w:r>
      <w:r>
        <w:rPr>
          <w:rFonts w:ascii="Times New Roman" w:hAnsi="Times New Roman"/>
          <w:szCs w:val="24"/>
        </w:rPr>
        <w:t>数值为</w:t>
      </w:r>
      <w:r>
        <w:rPr>
          <w:rFonts w:hint="eastAsia" w:ascii="Times New Roman" w:hAnsi="Times New Roman"/>
          <w:szCs w:val="24"/>
        </w:rPr>
        <w:t>1.3262 m</w:t>
      </w:r>
      <w:r>
        <w:rPr>
          <w:rFonts w:ascii="Times New Roman" w:hAnsi="Times New Roman"/>
          <w:szCs w:val="24"/>
        </w:rPr>
        <w:t>W/</w:t>
      </w:r>
      <w:r>
        <w:rPr>
          <w:rFonts w:hint="eastAsia" w:ascii="Times New Roman" w:hAnsi="Times New Roman"/>
          <w:szCs w:val="24"/>
        </w:rPr>
        <w:t>lm</w:t>
      </w:r>
      <w:r>
        <w:rPr>
          <w:rFonts w:ascii="Times New Roman" w:hAnsi="Times New Roman"/>
          <w:szCs w:val="24"/>
        </w:rPr>
        <w:t>；</w:t>
      </w:r>
    </w:p>
    <w:p w14:paraId="4C3754F6">
      <w:pPr>
        <w:adjustRightInd/>
        <w:spacing w:line="240" w:lineRule="auto"/>
        <w:ind w:left="1701" w:leftChars="200" w:hanging="1281" w:hangingChars="610"/>
        <w:rPr>
          <w:rFonts w:ascii="Times New Roman" w:hAnsi="Times New Roman"/>
        </w:rPr>
      </w:pPr>
      <m:oMath>
        <m:sSub>
          <m:sSubPr>
            <m:ctrlPr>
              <w:rPr>
                <w:rFonts w:ascii="Cambria Math" w:hAnsi="Cambria Math"/>
                <w:i/>
                <w:szCs w:val="24"/>
              </w:rPr>
            </m:ctrlPr>
          </m:sSubPr>
          <m:e>
            <m:r>
              <m:rPr/>
              <w:rPr>
                <w:rFonts w:ascii="Cambria Math" w:hAnsi="Cambria Math"/>
                <w:szCs w:val="24"/>
              </w:rPr>
              <m:t>Ε</m:t>
            </m:r>
            <m:ctrlPr>
              <w:rPr>
                <w:rFonts w:ascii="Cambria Math" w:hAnsi="Cambria Math"/>
                <w:i/>
                <w:szCs w:val="24"/>
              </w:rPr>
            </m:ctrlPr>
          </m:e>
          <m:sub>
            <m:r>
              <m:rPr/>
              <w:rPr>
                <w:rFonts w:ascii="Cambria Math" w:hAnsi="Cambria Math"/>
                <w:szCs w:val="24"/>
              </w:rPr>
              <m:t>e,  λ</m:t>
            </m:r>
            <m:ctrlPr>
              <w:rPr>
                <w:rFonts w:ascii="Cambria Math" w:hAnsi="Cambria Math"/>
                <w:i/>
                <w:szCs w:val="24"/>
              </w:rPr>
            </m:ctrlPr>
          </m:sub>
        </m:sSub>
        <m:d>
          <m:dPr>
            <m:ctrlPr>
              <w:rPr>
                <w:rFonts w:ascii="Cambria Math" w:hAnsi="Cambria Math"/>
                <w:i/>
                <w:szCs w:val="24"/>
              </w:rPr>
            </m:ctrlPr>
          </m:dPr>
          <m:e>
            <m:r>
              <m:rPr/>
              <w:rPr>
                <w:rFonts w:ascii="Cambria Math" w:hAnsi="Cambria Math"/>
                <w:szCs w:val="24"/>
              </w:rPr>
              <m:t>λ</m:t>
            </m:r>
            <m:ctrlPr>
              <w:rPr>
                <w:rFonts w:ascii="Cambria Math" w:hAnsi="Cambria Math"/>
                <w:i/>
                <w:szCs w:val="24"/>
              </w:rPr>
            </m:ctrlPr>
          </m:e>
        </m:d>
        <m:r>
          <m:rPr/>
          <w:rPr>
            <w:rFonts w:ascii="Cambria Math" w:hAnsi="Cambria Math"/>
            <w:szCs w:val="24"/>
          </w:rPr>
          <m:t xml:space="preserve"> </m:t>
        </m:r>
      </m:oMath>
      <w:r>
        <w:rPr>
          <w:rFonts w:ascii="宋体" w:hAnsi="宋体"/>
          <w:i/>
        </w:rPr>
        <w:t xml:space="preserve"> </w:t>
      </w:r>
      <w:r>
        <w:rPr>
          <w:rFonts w:ascii="宋体" w:hAnsi="宋体"/>
          <w:i/>
          <w:sz w:val="10"/>
          <w:szCs w:val="10"/>
        </w:rPr>
        <w:t xml:space="preserve"> </w:t>
      </w:r>
      <w:r>
        <w:rPr>
          <w:rFonts w:ascii="Times New Roman" w:hAnsi="Times New Roman"/>
        </w:rPr>
        <w:t>——</w:t>
      </w:r>
      <w:r>
        <w:rPr>
          <w:rFonts w:hint="eastAsia" w:ascii="Times New Roman" w:hAnsi="Times New Roman"/>
        </w:rPr>
        <w:t>单位面积</w:t>
      </w:r>
      <w:r>
        <w:rPr>
          <w:rFonts w:ascii="Times New Roman" w:hAnsi="Times New Roman"/>
        </w:rPr>
        <w:t>光谱</w:t>
      </w:r>
      <w:r>
        <w:rPr>
          <w:rFonts w:hint="eastAsia" w:ascii="Times New Roman" w:hAnsi="Times New Roman"/>
        </w:rPr>
        <w:t>功率密度</w:t>
      </w:r>
      <w:r>
        <w:rPr>
          <w:rFonts w:ascii="Times New Roman" w:hAnsi="Times New Roman"/>
        </w:rPr>
        <w:t>分布</w:t>
      </w:r>
      <w:r>
        <w:rPr>
          <w:rFonts w:hint="eastAsia" w:ascii="Times New Roman" w:hAnsi="Times New Roman"/>
        </w:rPr>
        <w:t>实测数值，</w:t>
      </w:r>
      <w:r>
        <w:rPr>
          <w:rFonts w:ascii="Times New Roman" w:hAnsi="Times New Roman"/>
        </w:rPr>
        <w:t>单位</w:t>
      </w:r>
      <w:r>
        <w:rPr>
          <w:rFonts w:hint="eastAsia" w:ascii="Times New Roman" w:hAnsi="Times New Roman"/>
        </w:rPr>
        <w:t>为瓦每平方米每纳米(</w:t>
      </w:r>
      <w:r>
        <w:rPr>
          <w:rFonts w:ascii="Times New Roman" w:hAnsi="Times New Roman"/>
        </w:rPr>
        <w:t>W/ m</w:t>
      </w:r>
      <w:r>
        <w:rPr>
          <w:rFonts w:ascii="Times New Roman" w:hAnsi="Times New Roman"/>
          <w:vertAlign w:val="superscript"/>
        </w:rPr>
        <w:t>2</w:t>
      </w:r>
      <w:r>
        <w:rPr>
          <w:rFonts w:hint="eastAsia" w:ascii="Times New Roman" w:hAnsi="Times New Roman"/>
        </w:rPr>
        <w:t>/</w:t>
      </w:r>
      <w:r>
        <w:rPr>
          <w:rFonts w:ascii="Times New Roman" w:hAnsi="Times New Roman"/>
        </w:rPr>
        <w:t xml:space="preserve"> nm)</w:t>
      </w:r>
      <w:r>
        <w:rPr>
          <w:rFonts w:hint="eastAsia" w:ascii="Times New Roman" w:hAnsi="Times New Roman"/>
        </w:rPr>
        <w:t>；</w:t>
      </w:r>
    </w:p>
    <w:p w14:paraId="31DCCD5A">
      <w:pPr>
        <w:pStyle w:val="59"/>
        <w:ind w:firstLine="420"/>
        <w:rPr>
          <w:rFonts w:ascii="Times New Roman"/>
          <w:kern w:val="2"/>
          <w:szCs w:val="24"/>
        </w:rPr>
      </w:pPr>
      <m:oMath>
        <m:sSub>
          <m:sSubPr>
            <m:ctrlPr>
              <w:rPr>
                <w:rFonts w:ascii="Cambria Math" w:hAnsi="Cambria Math"/>
                <w:i/>
                <w:iCs/>
                <w:kern w:val="2"/>
                <w:szCs w:val="21"/>
              </w:rPr>
            </m:ctrlPr>
          </m:sSubPr>
          <m:e>
            <m:r>
              <m:rPr/>
              <w:rPr>
                <w:rFonts w:hint="eastAsia" w:ascii="Cambria Math" w:hAnsi="Cambria Math"/>
                <w:kern w:val="2"/>
                <w:szCs w:val="21"/>
              </w:rPr>
              <m:t>s</m:t>
            </m:r>
            <m:ctrlPr>
              <w:rPr>
                <w:rFonts w:ascii="Cambria Math" w:hAnsi="Cambria Math"/>
                <w:i/>
                <w:iCs/>
                <w:kern w:val="2"/>
                <w:szCs w:val="21"/>
              </w:rPr>
            </m:ctrlPr>
          </m:e>
          <m:sub>
            <m:r>
              <m:rPr/>
              <w:rPr>
                <w:rFonts w:hint="eastAsia" w:ascii="Cambria Math" w:hAnsi="Cambria Math"/>
                <w:kern w:val="2"/>
                <w:szCs w:val="21"/>
              </w:rPr>
              <m:t>mel</m:t>
            </m:r>
            <m:ctrlPr>
              <w:rPr>
                <w:rFonts w:ascii="Cambria Math" w:hAnsi="Cambria Math"/>
                <w:i/>
                <w:iCs/>
                <w:kern w:val="2"/>
                <w:szCs w:val="21"/>
              </w:rPr>
            </m:ctrlPr>
          </m:sub>
        </m:sSub>
        <m:r>
          <m:rPr>
            <m:sty m:val="p"/>
          </m:rPr>
          <w:rPr>
            <w:rFonts w:ascii="Cambria Math" w:hAnsi="Cambria Math"/>
            <w:kern w:val="2"/>
            <w:szCs w:val="21"/>
          </w:rPr>
          <m:t>(</m:t>
        </m:r>
        <m:r>
          <m:rPr/>
          <w:rPr>
            <w:rFonts w:hint="eastAsia" w:ascii="Cambria Math" w:hAnsi="Cambria Math"/>
            <w:kern w:val="2"/>
            <w:szCs w:val="21"/>
          </w:rPr>
          <m:t>λ</m:t>
        </m:r>
        <m:r>
          <m:rPr>
            <m:sty m:val="p"/>
          </m:rPr>
          <w:rPr>
            <w:rFonts w:ascii="Cambria Math" w:hAnsi="Cambria Math"/>
            <w:kern w:val="2"/>
            <w:szCs w:val="21"/>
          </w:rPr>
          <m:t>)</m:t>
        </m:r>
      </m:oMath>
      <w:r>
        <w:rPr>
          <w:rFonts w:hint="eastAsia" w:hAnsi="宋体"/>
          <w:i/>
          <w:kern w:val="2"/>
          <w:szCs w:val="21"/>
        </w:rPr>
        <w:tab/>
      </w:r>
      <w:r>
        <w:rPr>
          <w:rFonts w:ascii="Times New Roman"/>
          <w:kern w:val="2"/>
          <w:szCs w:val="24"/>
        </w:rPr>
        <w:t>——</w:t>
      </w:r>
      <w:r>
        <w:rPr>
          <w:rFonts w:hint="eastAsia" w:ascii="Times New Roman"/>
          <w:kern w:val="2"/>
          <w:szCs w:val="24"/>
        </w:rPr>
        <w:t>视黑素蛋白光谱响应的函数，该函数与C</w:t>
      </w:r>
      <w:r>
        <w:rPr>
          <w:rFonts w:ascii="Times New Roman"/>
          <w:kern w:val="2"/>
          <w:szCs w:val="24"/>
        </w:rPr>
        <w:t>.3</w:t>
      </w:r>
      <w:r>
        <w:rPr>
          <w:rFonts w:hint="eastAsia" w:ascii="Times New Roman"/>
          <w:kern w:val="2"/>
          <w:szCs w:val="24"/>
        </w:rPr>
        <w:t>中</w:t>
      </w:r>
      <m:oMath>
        <m:sSub>
          <m:sSubPr>
            <m:ctrlPr>
              <w:rPr>
                <w:rFonts w:ascii="Cambria Math" w:hAnsi="Cambria Math"/>
                <w:i/>
                <w:kern w:val="2"/>
                <w:szCs w:val="24"/>
              </w:rPr>
            </m:ctrlPr>
          </m:sSubPr>
          <m:e>
            <m:r>
              <m:rPr/>
              <w:rPr>
                <w:rFonts w:ascii="Cambria Math" w:hAnsi="Cambria Math"/>
                <w:kern w:val="2"/>
                <w:szCs w:val="24"/>
              </w:rPr>
              <m:t>Ν</m:t>
            </m:r>
            <m:ctrlPr>
              <w:rPr>
                <w:rFonts w:ascii="Cambria Math" w:hAnsi="Cambria Math"/>
                <w:i/>
                <w:kern w:val="2"/>
                <w:szCs w:val="24"/>
              </w:rPr>
            </m:ctrlPr>
          </m:e>
          <m:sub>
            <m:r>
              <m:rPr/>
              <w:rPr>
                <w:rFonts w:ascii="Cambria Math" w:hAnsi="Cambria Math"/>
                <w:kern w:val="2"/>
                <w:szCs w:val="24"/>
              </w:rPr>
              <m:t>z</m:t>
            </m:r>
            <m:ctrlPr>
              <w:rPr>
                <w:rFonts w:ascii="Cambria Math" w:hAnsi="Cambria Math"/>
                <w:i/>
                <w:kern w:val="2"/>
                <w:szCs w:val="24"/>
              </w:rPr>
            </m:ctrlPr>
          </m:sub>
        </m:sSub>
        <m:d>
          <m:dPr>
            <m:ctrlPr>
              <w:rPr>
                <w:rFonts w:ascii="Cambria Math" w:hAnsi="Cambria Math"/>
                <w:i/>
                <w:kern w:val="2"/>
                <w:szCs w:val="24"/>
              </w:rPr>
            </m:ctrlPr>
          </m:dPr>
          <m:e>
            <m:r>
              <m:rPr/>
              <w:rPr>
                <w:rFonts w:ascii="Cambria Math" w:hAnsi="Cambria Math"/>
                <w:kern w:val="2"/>
                <w:szCs w:val="24"/>
              </w:rPr>
              <m:t>λ</m:t>
            </m:r>
            <m:ctrlPr>
              <w:rPr>
                <w:rFonts w:ascii="Cambria Math" w:hAnsi="Cambria Math"/>
                <w:i/>
                <w:kern w:val="2"/>
                <w:szCs w:val="24"/>
              </w:rPr>
            </m:ctrlPr>
          </m:e>
        </m:d>
      </m:oMath>
      <w:r>
        <w:rPr>
          <w:rFonts w:hint="eastAsia" w:ascii="Times New Roman"/>
          <w:kern w:val="2"/>
          <w:szCs w:val="24"/>
        </w:rPr>
        <w:t>函数的形状相同（仅归一化条件不同），考虑了32岁标准观察者的晶状体光谱透射函数修正，与GB/T 5700-2023 附录A中表A.1数据一致</w:t>
      </w:r>
      <w:r>
        <w:rPr>
          <w:rFonts w:ascii="Times New Roman"/>
          <w:kern w:val="2"/>
          <w:szCs w:val="24"/>
        </w:rPr>
        <w:t>。</w:t>
      </w:r>
    </w:p>
    <w:p w14:paraId="5D248662">
      <w:pPr>
        <w:pStyle w:val="59"/>
        <w:ind w:firstLine="420"/>
        <w:rPr>
          <w:rFonts w:ascii="Times New Roman"/>
        </w:rPr>
      </w:pPr>
      <w:r>
        <w:rPr>
          <w:rFonts w:ascii="Times New Roman"/>
        </w:rPr>
        <w:t>m-EDI与EML的换算计算公式如下：</w:t>
      </w:r>
    </w:p>
    <w:p w14:paraId="400370D4">
      <w:pPr>
        <w:pStyle w:val="116"/>
        <w:rPr>
          <w:rFonts w:hint="eastAsia"/>
        </w:rPr>
      </w:pPr>
      <w:r>
        <w:tab/>
      </w:r>
      <m:oMath>
        <m:r>
          <m:rPr>
            <m:sty m:val="p"/>
          </m:rPr>
          <w:rPr>
            <w:rFonts w:ascii="Cambria Math" w:hAnsi="Cambria Math"/>
          </w:rPr>
          <m:t>m</m:t>
        </m:r>
        <m:r>
          <m:rPr>
            <m:sty m:val="p"/>
          </m:rPr>
          <w:rPr>
            <w:rFonts w:hint="eastAsia" w:ascii="Cambria Math" w:hAnsi="Cambria Math"/>
          </w:rPr>
          <m:t>­</m:t>
        </m:r>
        <m:r>
          <m:rPr>
            <m:sty m:val="p"/>
          </m:rPr>
          <w:rPr>
            <w:rFonts w:ascii="Cambria Math" w:hAnsi="Cambria Math"/>
          </w:rPr>
          <m:t>EDI=EML×γ</m:t>
        </m:r>
      </m:oMath>
      <w:r>
        <w:rPr>
          <w:rFonts w:ascii="微软雅黑" w:hAnsi="微软雅黑" w:eastAsia="微软雅黑"/>
        </w:rPr>
        <w:tab/>
      </w:r>
      <w:r>
        <w:t>(</w:t>
      </w:r>
      <w:r>
        <w:rPr>
          <w:rFonts w:ascii="Times New Roman" w:hAnsi="Times New Roman"/>
        </w:rPr>
        <w:t>C.4</w:t>
      </w:r>
      <w:r>
        <w:t>)</w:t>
      </w:r>
    </w:p>
    <w:p w14:paraId="5AE43CE0">
      <w:pPr>
        <w:pStyle w:val="58"/>
        <w:ind w:firstLine="420"/>
      </w:pPr>
      <w:r>
        <w:rPr>
          <w:rFonts w:hint="eastAsia"/>
        </w:rPr>
        <w:t>式中：</w:t>
      </w:r>
    </w:p>
    <w:p w14:paraId="67207FDD">
      <w:pPr>
        <w:pStyle w:val="59"/>
        <w:ind w:firstLine="420"/>
      </w:pPr>
      <w:r>
        <w:t>EML</w:t>
      </w:r>
      <w:r>
        <w:rPr>
          <w:rFonts w:hint="eastAsia"/>
        </w:rPr>
        <w:t xml:space="preserve"> </w:t>
      </w:r>
      <w:r>
        <w:t>——</w:t>
      </w:r>
      <w:r>
        <w:rPr>
          <w:rFonts w:hint="eastAsia"/>
        </w:rPr>
        <w:t>视黑素等效勒克斯</w:t>
      </w:r>
      <w:r>
        <w:rPr>
          <w:rFonts w:ascii="Times New Roman"/>
        </w:rPr>
        <w:t>（见C.3）</w:t>
      </w:r>
      <w:r>
        <w:rPr>
          <w:rFonts w:hint="eastAsia"/>
        </w:rPr>
        <w:t>；</w:t>
      </w:r>
    </w:p>
    <w:p w14:paraId="10922AD8">
      <w:pPr>
        <w:pStyle w:val="59"/>
        <w:ind w:firstLine="420"/>
      </w:pPr>
      <w:r>
        <w:rPr>
          <w:rFonts w:hint="eastAsia"/>
        </w:rPr>
        <w:t>γ  ——常</w:t>
      </w:r>
      <w:r>
        <w:rPr>
          <w:rFonts w:ascii="Times New Roman"/>
        </w:rPr>
        <w:t>数，数值为0.9063，为EML和m-EDI的数值换算</w:t>
      </w:r>
      <w:r>
        <w:rPr>
          <w:rFonts w:hint="eastAsia"/>
        </w:rPr>
        <w:t>系数。</w:t>
      </w:r>
    </w:p>
    <w:p w14:paraId="796E611D">
      <w:pPr>
        <w:pStyle w:val="59"/>
        <w:spacing w:before="120" w:beforeLines="50" w:after="120" w:afterLines="50"/>
        <w:ind w:firstLine="420" w:firstLineChars="0"/>
        <w:jc w:val="center"/>
        <w:rPr>
          <w:rFonts w:hint="eastAsia" w:ascii="黑体" w:hAnsi="黑体" w:eastAsia="黑体"/>
        </w:rPr>
      </w:pPr>
      <w:r>
        <w:rPr>
          <w:rFonts w:hint="eastAsia" w:ascii="黑体" w:hAnsi="黑体" w:eastAsia="黑体"/>
        </w:rPr>
        <w:t xml:space="preserve">表C.1 </w:t>
      </w:r>
      <w:r>
        <w:rPr>
          <w:rFonts w:hint="eastAsia"/>
        </w:rPr>
        <w:t>视黑素及视觉响应数值表</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999"/>
        <w:gridCol w:w="2682"/>
        <w:gridCol w:w="2921"/>
        <w:gridCol w:w="2732"/>
      </w:tblGrid>
      <w:tr w14:paraId="21AA07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999" w:type="dxa"/>
            <w:tcBorders>
              <w:top w:val="single" w:color="auto" w:sz="8" w:space="0"/>
              <w:bottom w:val="single" w:color="auto" w:sz="8" w:space="0"/>
            </w:tcBorders>
            <w:shd w:val="clear" w:color="auto" w:fill="auto"/>
            <w:vAlign w:val="center"/>
          </w:tcPr>
          <w:p w14:paraId="0485C4CC">
            <w:pPr>
              <w:pStyle w:val="181"/>
            </w:pPr>
            <w:r>
              <w:rPr>
                <w:rFonts w:hint="eastAsia"/>
              </w:rPr>
              <w:t>波长λ</w:t>
            </w:r>
          </w:p>
          <w:p w14:paraId="54CF90AD">
            <w:pPr>
              <w:pStyle w:val="181"/>
            </w:pPr>
            <w:r>
              <w:t>nm</w:t>
            </w:r>
          </w:p>
        </w:tc>
        <w:tc>
          <w:tcPr>
            <w:tcW w:w="2682" w:type="dxa"/>
            <w:tcBorders>
              <w:top w:val="single" w:color="auto" w:sz="8" w:space="0"/>
              <w:bottom w:val="single" w:color="auto" w:sz="8" w:space="0"/>
            </w:tcBorders>
            <w:shd w:val="clear" w:color="auto" w:fill="auto"/>
            <w:vAlign w:val="center"/>
          </w:tcPr>
          <w:p w14:paraId="5AA409F5">
            <w:pPr>
              <w:pStyle w:val="181"/>
            </w:pPr>
            <w:r>
              <w:rPr>
                <w:rFonts w:hint="eastAsia"/>
              </w:rPr>
              <w:t>视黑素光谱光视效能函数</w:t>
            </w:r>
          </w:p>
          <w:p w14:paraId="1DAAA499">
            <w:pPr>
              <w:pStyle w:val="181"/>
            </w:pPr>
            <m:oMathPara>
              <m:oMath>
                <m:sSub>
                  <m:sSubPr>
                    <m:ctrlPr>
                      <w:rPr>
                        <w:rFonts w:ascii="Cambria Math" w:hAnsi="Cambria Math"/>
                        <w:bCs/>
                        <w:i/>
                        <w:szCs w:val="18"/>
                      </w:rPr>
                    </m:ctrlPr>
                  </m:sSubPr>
                  <m:e>
                    <m:r>
                      <m:rPr/>
                      <w:rPr>
                        <w:rFonts w:ascii="Cambria Math" w:hAnsi="Cambria Math"/>
                        <w:szCs w:val="18"/>
                      </w:rPr>
                      <m:t>Ν</m:t>
                    </m:r>
                    <m:ctrlPr>
                      <w:rPr>
                        <w:rFonts w:ascii="Cambria Math" w:hAnsi="Cambria Math"/>
                        <w:bCs/>
                        <w:i/>
                        <w:szCs w:val="18"/>
                      </w:rPr>
                    </m:ctrlPr>
                  </m:e>
                  <m:sub>
                    <m:r>
                      <m:rPr/>
                      <w:rPr>
                        <w:rFonts w:ascii="Cambria Math" w:hAnsi="Cambria Math"/>
                        <w:szCs w:val="18"/>
                      </w:rPr>
                      <m:t>z</m:t>
                    </m:r>
                    <m:ctrlPr>
                      <w:rPr>
                        <w:rFonts w:ascii="Cambria Math" w:hAnsi="Cambria Math"/>
                        <w:bCs/>
                        <w:i/>
                        <w:szCs w:val="18"/>
                      </w:rPr>
                    </m:ctrlPr>
                  </m:sub>
                </m:sSub>
                <m:d>
                  <m:dPr>
                    <m:ctrlPr>
                      <w:rPr>
                        <w:rFonts w:ascii="Cambria Math" w:hAnsi="Cambria Math"/>
                        <w:bCs/>
                        <w:i/>
                        <w:szCs w:val="18"/>
                      </w:rPr>
                    </m:ctrlPr>
                  </m:dPr>
                  <m:e>
                    <m:r>
                      <m:rPr/>
                      <w:rPr>
                        <w:rFonts w:ascii="Cambria Math" w:hAnsi="Cambria Math"/>
                        <w:szCs w:val="18"/>
                      </w:rPr>
                      <m:t>λ</m:t>
                    </m:r>
                    <m:ctrlPr>
                      <w:rPr>
                        <w:rFonts w:ascii="Cambria Math" w:hAnsi="Cambria Math"/>
                        <w:bCs/>
                        <w:i/>
                        <w:szCs w:val="18"/>
                      </w:rPr>
                    </m:ctrlPr>
                  </m:e>
                </m:d>
              </m:oMath>
            </m:oMathPara>
          </w:p>
        </w:tc>
        <w:tc>
          <w:tcPr>
            <w:tcW w:w="2921" w:type="dxa"/>
            <w:tcBorders>
              <w:top w:val="single" w:color="auto" w:sz="8" w:space="0"/>
              <w:bottom w:val="single" w:color="auto" w:sz="8" w:space="0"/>
            </w:tcBorders>
            <w:shd w:val="clear" w:color="auto" w:fill="auto"/>
            <w:vAlign w:val="center"/>
          </w:tcPr>
          <w:p w14:paraId="1881CD78">
            <w:pPr>
              <w:pStyle w:val="181"/>
            </w:pPr>
            <w:r>
              <w:rPr>
                <w:rFonts w:hint="eastAsia"/>
              </w:rPr>
              <w:t>视黑素蛋白光谱响应的函数</w:t>
            </w:r>
          </w:p>
          <w:p w14:paraId="25ADDA86">
            <w:pPr>
              <w:pStyle w:val="181"/>
            </w:pPr>
            <m:oMathPara>
              <m:oMath>
                <m:sSub>
                  <m:sSubPr>
                    <m:ctrlPr>
                      <w:rPr>
                        <w:rFonts w:ascii="Cambria Math" w:hAnsi="Cambria Math"/>
                        <w:i/>
                        <w:iCs/>
                        <w:szCs w:val="18"/>
                      </w:rPr>
                    </m:ctrlPr>
                  </m:sSubPr>
                  <m:e>
                    <m:r>
                      <m:rPr/>
                      <w:rPr>
                        <w:rFonts w:hint="eastAsia" w:ascii="Cambria Math" w:hAnsi="Cambria Math"/>
                        <w:szCs w:val="18"/>
                      </w:rPr>
                      <m:t>s</m:t>
                    </m:r>
                    <m:ctrlPr>
                      <w:rPr>
                        <w:rFonts w:ascii="Cambria Math" w:hAnsi="Cambria Math"/>
                        <w:i/>
                        <w:iCs/>
                        <w:szCs w:val="18"/>
                      </w:rPr>
                    </m:ctrlPr>
                  </m:e>
                  <m:sub>
                    <m:r>
                      <m:rPr/>
                      <w:rPr>
                        <w:rFonts w:hint="eastAsia" w:ascii="Cambria Math" w:hAnsi="Cambria Math"/>
                        <w:szCs w:val="18"/>
                      </w:rPr>
                      <m:t>mel</m:t>
                    </m:r>
                    <m:ctrlPr>
                      <w:rPr>
                        <w:rFonts w:ascii="Cambria Math" w:hAnsi="Cambria Math"/>
                        <w:i/>
                        <w:iCs/>
                        <w:szCs w:val="18"/>
                      </w:rPr>
                    </m:ctrlPr>
                  </m:sub>
                </m:sSub>
                <m:r>
                  <m:rPr>
                    <m:sty m:val="p"/>
                  </m:rPr>
                  <w:rPr>
                    <w:rFonts w:ascii="Cambria Math" w:hAnsi="Cambria Math"/>
                    <w:szCs w:val="18"/>
                  </w:rPr>
                  <m:t>(</m:t>
                </m:r>
                <m:r>
                  <m:rPr/>
                  <w:rPr>
                    <w:rFonts w:hint="eastAsia" w:ascii="Cambria Math" w:hAnsi="Cambria Math"/>
                    <w:szCs w:val="18"/>
                  </w:rPr>
                  <m:t>λ</m:t>
                </m:r>
                <m:r>
                  <m:rPr>
                    <m:sty m:val="p"/>
                  </m:rPr>
                  <w:rPr>
                    <w:rFonts w:ascii="Cambria Math" w:hAnsi="Cambria Math"/>
                    <w:szCs w:val="18"/>
                  </w:rPr>
                  <m:t>)</m:t>
                </m:r>
              </m:oMath>
            </m:oMathPara>
          </w:p>
        </w:tc>
        <w:tc>
          <w:tcPr>
            <w:tcW w:w="2732" w:type="dxa"/>
            <w:tcBorders>
              <w:top w:val="single" w:color="auto" w:sz="8" w:space="0"/>
              <w:bottom w:val="single" w:color="auto" w:sz="8" w:space="0"/>
            </w:tcBorders>
            <w:shd w:val="clear" w:color="auto" w:fill="auto"/>
            <w:vAlign w:val="center"/>
          </w:tcPr>
          <w:p w14:paraId="14AAE20A">
            <w:pPr>
              <w:pStyle w:val="181"/>
            </w:pPr>
            <w:r>
              <w:rPr>
                <w:rFonts w:hint="eastAsia"/>
              </w:rPr>
              <w:t>明视觉光谱光视效能函数</w:t>
            </w:r>
          </w:p>
          <w:p w14:paraId="6AF5C652">
            <w:pPr>
              <w:pStyle w:val="181"/>
            </w:pPr>
            <m:oMathPara>
              <m:oMath>
                <m:r>
                  <m:rPr/>
                  <w:rPr>
                    <w:rFonts w:ascii="Cambria Math" w:hAnsi="Cambria Math"/>
                    <w:szCs w:val="18"/>
                  </w:rPr>
                  <m:t>V</m:t>
                </m:r>
                <m:d>
                  <m:dPr>
                    <m:ctrlPr>
                      <w:rPr>
                        <w:rFonts w:ascii="Cambria Math" w:hAnsi="Cambria Math"/>
                        <w:bCs/>
                        <w:i/>
                        <w:szCs w:val="18"/>
                      </w:rPr>
                    </m:ctrlPr>
                  </m:dPr>
                  <m:e>
                    <m:r>
                      <m:rPr/>
                      <w:rPr>
                        <w:rFonts w:ascii="Cambria Math" w:hAnsi="Cambria Math"/>
                        <w:szCs w:val="18"/>
                      </w:rPr>
                      <m:t>λ</m:t>
                    </m:r>
                    <m:ctrlPr>
                      <w:rPr>
                        <w:rFonts w:ascii="Cambria Math" w:hAnsi="Cambria Math"/>
                        <w:bCs/>
                        <w:i/>
                        <w:szCs w:val="18"/>
                      </w:rPr>
                    </m:ctrlPr>
                  </m:e>
                </m:d>
              </m:oMath>
            </m:oMathPara>
          </w:p>
        </w:tc>
      </w:tr>
      <w:tr w14:paraId="133837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99" w:type="dxa"/>
            <w:tcBorders>
              <w:top w:val="single" w:color="auto" w:sz="8" w:space="0"/>
            </w:tcBorders>
            <w:shd w:val="clear" w:color="auto" w:fill="auto"/>
            <w:vAlign w:val="center"/>
          </w:tcPr>
          <w:p w14:paraId="7CF0272B">
            <w:pPr>
              <w:pStyle w:val="181"/>
              <w:rPr>
                <w:rFonts w:ascii="Times New Roman"/>
              </w:rPr>
            </w:pPr>
            <w:r>
              <w:rPr>
                <w:rFonts w:ascii="Times New Roman"/>
              </w:rPr>
              <w:t>380</w:t>
            </w:r>
          </w:p>
        </w:tc>
        <w:tc>
          <w:tcPr>
            <w:tcW w:w="2682" w:type="dxa"/>
            <w:tcBorders>
              <w:top w:val="single" w:color="auto" w:sz="8" w:space="0"/>
            </w:tcBorders>
            <w:shd w:val="clear" w:color="auto" w:fill="auto"/>
            <w:vAlign w:val="center"/>
          </w:tcPr>
          <w:p w14:paraId="42B7BA48">
            <w:pPr>
              <w:pStyle w:val="181"/>
              <w:rPr>
                <w:rFonts w:ascii="Times New Roman"/>
              </w:rPr>
            </w:pPr>
            <w:r>
              <w:rPr>
                <w:rFonts w:ascii="Times New Roman"/>
              </w:rPr>
              <w:t>0.000010</w:t>
            </w:r>
          </w:p>
        </w:tc>
        <w:tc>
          <w:tcPr>
            <w:tcW w:w="2921" w:type="dxa"/>
            <w:tcBorders>
              <w:top w:val="single" w:color="auto" w:sz="8" w:space="0"/>
            </w:tcBorders>
            <w:shd w:val="clear" w:color="auto" w:fill="auto"/>
            <w:vAlign w:val="center"/>
          </w:tcPr>
          <w:p w14:paraId="262B0E16">
            <w:pPr>
              <w:pStyle w:val="181"/>
              <w:rPr>
                <w:rFonts w:ascii="Times New Roman"/>
              </w:rPr>
            </w:pPr>
            <w:r>
              <w:rPr>
                <w:rFonts w:ascii="Times New Roman"/>
              </w:rPr>
              <w:t>0.000918</w:t>
            </w:r>
          </w:p>
        </w:tc>
        <w:tc>
          <w:tcPr>
            <w:tcW w:w="2732" w:type="dxa"/>
            <w:tcBorders>
              <w:top w:val="single" w:color="auto" w:sz="8" w:space="0"/>
            </w:tcBorders>
            <w:shd w:val="clear" w:color="auto" w:fill="auto"/>
            <w:vAlign w:val="center"/>
          </w:tcPr>
          <w:p w14:paraId="549139FD">
            <w:pPr>
              <w:pStyle w:val="181"/>
              <w:rPr>
                <w:rFonts w:ascii="Times New Roman"/>
              </w:rPr>
            </w:pPr>
            <w:r>
              <w:rPr>
                <w:rFonts w:ascii="Times New Roman"/>
              </w:rPr>
              <w:t>0.000039</w:t>
            </w:r>
          </w:p>
        </w:tc>
      </w:tr>
      <w:tr w14:paraId="38C8B0C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99" w:type="dxa"/>
            <w:shd w:val="clear" w:color="auto" w:fill="auto"/>
            <w:vAlign w:val="center"/>
          </w:tcPr>
          <w:p w14:paraId="66ACDEF4">
            <w:pPr>
              <w:pStyle w:val="181"/>
              <w:rPr>
                <w:rFonts w:ascii="Times New Roman"/>
              </w:rPr>
            </w:pPr>
            <w:r>
              <w:rPr>
                <w:rFonts w:ascii="Times New Roman"/>
              </w:rPr>
              <w:t>385</w:t>
            </w:r>
          </w:p>
        </w:tc>
        <w:tc>
          <w:tcPr>
            <w:tcW w:w="2682" w:type="dxa"/>
            <w:shd w:val="clear" w:color="auto" w:fill="auto"/>
            <w:vAlign w:val="center"/>
          </w:tcPr>
          <w:p w14:paraId="3687E580">
            <w:pPr>
              <w:pStyle w:val="181"/>
              <w:rPr>
                <w:rFonts w:ascii="Times New Roman"/>
              </w:rPr>
            </w:pPr>
            <w:r>
              <w:rPr>
                <w:rFonts w:ascii="Times New Roman"/>
              </w:rPr>
              <w:t>0.000019</w:t>
            </w:r>
          </w:p>
        </w:tc>
        <w:tc>
          <w:tcPr>
            <w:tcW w:w="2921" w:type="dxa"/>
            <w:shd w:val="clear" w:color="auto" w:fill="auto"/>
            <w:vAlign w:val="center"/>
          </w:tcPr>
          <w:p w14:paraId="5EE8E589">
            <w:pPr>
              <w:pStyle w:val="181"/>
              <w:rPr>
                <w:rFonts w:ascii="Times New Roman"/>
              </w:rPr>
            </w:pPr>
            <w:r>
              <w:rPr>
                <w:rFonts w:ascii="Times New Roman"/>
              </w:rPr>
              <w:t>0.001484</w:t>
            </w:r>
          </w:p>
        </w:tc>
        <w:tc>
          <w:tcPr>
            <w:tcW w:w="2732" w:type="dxa"/>
            <w:shd w:val="clear" w:color="auto" w:fill="auto"/>
            <w:vAlign w:val="center"/>
          </w:tcPr>
          <w:p w14:paraId="636158C7">
            <w:pPr>
              <w:pStyle w:val="181"/>
              <w:rPr>
                <w:rFonts w:ascii="Times New Roman"/>
              </w:rPr>
            </w:pPr>
            <w:r>
              <w:rPr>
                <w:rFonts w:ascii="Times New Roman"/>
              </w:rPr>
              <w:t>0.000064</w:t>
            </w:r>
          </w:p>
        </w:tc>
      </w:tr>
      <w:tr w14:paraId="43943A6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99" w:type="dxa"/>
            <w:shd w:val="clear" w:color="auto" w:fill="auto"/>
            <w:vAlign w:val="center"/>
          </w:tcPr>
          <w:p w14:paraId="74A9780D">
            <w:pPr>
              <w:pStyle w:val="181"/>
              <w:rPr>
                <w:rFonts w:ascii="Times New Roman"/>
              </w:rPr>
            </w:pPr>
            <w:r>
              <w:rPr>
                <w:rFonts w:ascii="Times New Roman"/>
              </w:rPr>
              <w:t>390</w:t>
            </w:r>
          </w:p>
        </w:tc>
        <w:tc>
          <w:tcPr>
            <w:tcW w:w="2682" w:type="dxa"/>
            <w:shd w:val="clear" w:color="auto" w:fill="auto"/>
            <w:vAlign w:val="center"/>
          </w:tcPr>
          <w:p w14:paraId="1FB7B907">
            <w:pPr>
              <w:pStyle w:val="181"/>
              <w:rPr>
                <w:rFonts w:ascii="Times New Roman"/>
              </w:rPr>
            </w:pPr>
            <w:r>
              <w:rPr>
                <w:rFonts w:ascii="Times New Roman"/>
              </w:rPr>
              <w:t>0.000035</w:t>
            </w:r>
          </w:p>
        </w:tc>
        <w:tc>
          <w:tcPr>
            <w:tcW w:w="2921" w:type="dxa"/>
            <w:shd w:val="clear" w:color="auto" w:fill="auto"/>
            <w:vAlign w:val="center"/>
          </w:tcPr>
          <w:p w14:paraId="528101FB">
            <w:pPr>
              <w:pStyle w:val="181"/>
              <w:rPr>
                <w:rFonts w:ascii="Times New Roman"/>
              </w:rPr>
            </w:pPr>
            <w:r>
              <w:rPr>
                <w:rFonts w:ascii="Times New Roman"/>
              </w:rPr>
              <w:t>0.003094</w:t>
            </w:r>
          </w:p>
        </w:tc>
        <w:tc>
          <w:tcPr>
            <w:tcW w:w="2732" w:type="dxa"/>
            <w:shd w:val="clear" w:color="auto" w:fill="auto"/>
            <w:vAlign w:val="center"/>
          </w:tcPr>
          <w:p w14:paraId="490874E6">
            <w:pPr>
              <w:pStyle w:val="181"/>
              <w:rPr>
                <w:rFonts w:ascii="Times New Roman"/>
              </w:rPr>
            </w:pPr>
            <w:r>
              <w:rPr>
                <w:rFonts w:ascii="Times New Roman"/>
              </w:rPr>
              <w:t>0.000120</w:t>
            </w:r>
          </w:p>
        </w:tc>
      </w:tr>
      <w:tr w14:paraId="1EE457E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99" w:type="dxa"/>
            <w:shd w:val="clear" w:color="auto" w:fill="auto"/>
            <w:vAlign w:val="center"/>
          </w:tcPr>
          <w:p w14:paraId="6A38F67B">
            <w:pPr>
              <w:pStyle w:val="181"/>
              <w:rPr>
                <w:rFonts w:ascii="Times New Roman"/>
              </w:rPr>
            </w:pPr>
            <w:r>
              <w:rPr>
                <w:rFonts w:ascii="Times New Roman"/>
              </w:rPr>
              <w:t>395</w:t>
            </w:r>
          </w:p>
        </w:tc>
        <w:tc>
          <w:tcPr>
            <w:tcW w:w="2682" w:type="dxa"/>
            <w:shd w:val="clear" w:color="auto" w:fill="auto"/>
            <w:vAlign w:val="center"/>
          </w:tcPr>
          <w:p w14:paraId="1A5CFB5D">
            <w:pPr>
              <w:pStyle w:val="181"/>
              <w:rPr>
                <w:rFonts w:ascii="Times New Roman"/>
              </w:rPr>
            </w:pPr>
            <w:r>
              <w:rPr>
                <w:rFonts w:ascii="Times New Roman"/>
              </w:rPr>
              <w:t>0.000067</w:t>
            </w:r>
          </w:p>
        </w:tc>
        <w:tc>
          <w:tcPr>
            <w:tcW w:w="2921" w:type="dxa"/>
            <w:shd w:val="clear" w:color="auto" w:fill="auto"/>
            <w:vAlign w:val="center"/>
          </w:tcPr>
          <w:p w14:paraId="51B7F01D">
            <w:pPr>
              <w:pStyle w:val="181"/>
              <w:rPr>
                <w:rFonts w:ascii="Times New Roman"/>
              </w:rPr>
            </w:pPr>
            <w:r>
              <w:rPr>
                <w:rFonts w:ascii="Times New Roman"/>
              </w:rPr>
              <w:t>0.005880</w:t>
            </w:r>
          </w:p>
        </w:tc>
        <w:tc>
          <w:tcPr>
            <w:tcW w:w="2732" w:type="dxa"/>
            <w:shd w:val="clear" w:color="auto" w:fill="auto"/>
            <w:vAlign w:val="center"/>
          </w:tcPr>
          <w:p w14:paraId="6376111F">
            <w:pPr>
              <w:pStyle w:val="181"/>
              <w:rPr>
                <w:rFonts w:ascii="Times New Roman"/>
              </w:rPr>
            </w:pPr>
            <w:r>
              <w:rPr>
                <w:rFonts w:ascii="Times New Roman"/>
              </w:rPr>
              <w:t>0.000217</w:t>
            </w:r>
          </w:p>
        </w:tc>
      </w:tr>
      <w:tr w14:paraId="4E1F678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99" w:type="dxa"/>
            <w:shd w:val="clear" w:color="auto" w:fill="auto"/>
            <w:vAlign w:val="center"/>
          </w:tcPr>
          <w:p w14:paraId="0D4B48C9">
            <w:pPr>
              <w:pStyle w:val="181"/>
              <w:rPr>
                <w:rFonts w:ascii="Times New Roman"/>
              </w:rPr>
            </w:pPr>
            <w:r>
              <w:rPr>
                <w:rFonts w:ascii="Times New Roman"/>
              </w:rPr>
              <w:t>400</w:t>
            </w:r>
          </w:p>
        </w:tc>
        <w:tc>
          <w:tcPr>
            <w:tcW w:w="2682" w:type="dxa"/>
            <w:shd w:val="clear" w:color="auto" w:fill="auto"/>
            <w:vAlign w:val="center"/>
          </w:tcPr>
          <w:p w14:paraId="1D6F0DF2">
            <w:pPr>
              <w:pStyle w:val="181"/>
              <w:rPr>
                <w:rFonts w:ascii="Times New Roman"/>
              </w:rPr>
            </w:pPr>
            <w:r>
              <w:rPr>
                <w:rFonts w:ascii="Times New Roman"/>
              </w:rPr>
              <w:t>0.000130</w:t>
            </w:r>
          </w:p>
        </w:tc>
        <w:tc>
          <w:tcPr>
            <w:tcW w:w="2921" w:type="dxa"/>
            <w:shd w:val="clear" w:color="auto" w:fill="auto"/>
            <w:vAlign w:val="center"/>
          </w:tcPr>
          <w:p w14:paraId="41F67290">
            <w:pPr>
              <w:pStyle w:val="181"/>
              <w:rPr>
                <w:rFonts w:ascii="Times New Roman"/>
              </w:rPr>
            </w:pPr>
            <w:r>
              <w:rPr>
                <w:rFonts w:ascii="Times New Roman"/>
              </w:rPr>
              <w:t>0.011428</w:t>
            </w:r>
          </w:p>
        </w:tc>
        <w:tc>
          <w:tcPr>
            <w:tcW w:w="2732" w:type="dxa"/>
            <w:shd w:val="clear" w:color="auto" w:fill="auto"/>
            <w:vAlign w:val="center"/>
          </w:tcPr>
          <w:p w14:paraId="34EEE4D0">
            <w:pPr>
              <w:pStyle w:val="181"/>
              <w:rPr>
                <w:rFonts w:ascii="Times New Roman"/>
              </w:rPr>
            </w:pPr>
            <w:r>
              <w:rPr>
                <w:rFonts w:ascii="Times New Roman"/>
              </w:rPr>
              <w:t>0.000396</w:t>
            </w:r>
          </w:p>
        </w:tc>
      </w:tr>
      <w:tr w14:paraId="73F9FF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99" w:type="dxa"/>
            <w:shd w:val="clear" w:color="auto" w:fill="auto"/>
            <w:vAlign w:val="center"/>
          </w:tcPr>
          <w:p w14:paraId="2D588AA7">
            <w:pPr>
              <w:pStyle w:val="181"/>
              <w:rPr>
                <w:rFonts w:ascii="Times New Roman"/>
              </w:rPr>
            </w:pPr>
            <w:r>
              <w:rPr>
                <w:rFonts w:ascii="Times New Roman"/>
              </w:rPr>
              <w:t>405</w:t>
            </w:r>
          </w:p>
        </w:tc>
        <w:tc>
          <w:tcPr>
            <w:tcW w:w="2682" w:type="dxa"/>
            <w:shd w:val="clear" w:color="auto" w:fill="auto"/>
            <w:vAlign w:val="center"/>
          </w:tcPr>
          <w:p w14:paraId="188DE15D">
            <w:pPr>
              <w:pStyle w:val="181"/>
              <w:rPr>
                <w:rFonts w:ascii="Times New Roman"/>
              </w:rPr>
            </w:pPr>
            <w:r>
              <w:rPr>
                <w:rFonts w:ascii="Times New Roman"/>
              </w:rPr>
              <w:t>0.000260</w:t>
            </w:r>
          </w:p>
        </w:tc>
        <w:tc>
          <w:tcPr>
            <w:tcW w:w="2921" w:type="dxa"/>
            <w:shd w:val="clear" w:color="auto" w:fill="auto"/>
            <w:vAlign w:val="center"/>
          </w:tcPr>
          <w:p w14:paraId="5BA3D199">
            <w:pPr>
              <w:pStyle w:val="181"/>
              <w:rPr>
                <w:rFonts w:ascii="Times New Roman"/>
              </w:rPr>
            </w:pPr>
            <w:r>
              <w:rPr>
                <w:rFonts w:ascii="Times New Roman"/>
              </w:rPr>
              <w:t>0.022811</w:t>
            </w:r>
          </w:p>
        </w:tc>
        <w:tc>
          <w:tcPr>
            <w:tcW w:w="2732" w:type="dxa"/>
            <w:shd w:val="clear" w:color="auto" w:fill="auto"/>
            <w:vAlign w:val="center"/>
          </w:tcPr>
          <w:p w14:paraId="0049A13F">
            <w:pPr>
              <w:pStyle w:val="181"/>
              <w:rPr>
                <w:rFonts w:ascii="Times New Roman"/>
              </w:rPr>
            </w:pPr>
            <w:r>
              <w:rPr>
                <w:rFonts w:ascii="Times New Roman"/>
              </w:rPr>
              <w:t>0.000640</w:t>
            </w:r>
          </w:p>
        </w:tc>
      </w:tr>
      <w:tr w14:paraId="02C8F0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99" w:type="dxa"/>
            <w:shd w:val="clear" w:color="auto" w:fill="auto"/>
            <w:vAlign w:val="center"/>
          </w:tcPr>
          <w:p w14:paraId="083E7CB6">
            <w:pPr>
              <w:pStyle w:val="181"/>
              <w:rPr>
                <w:rFonts w:ascii="Times New Roman"/>
              </w:rPr>
            </w:pPr>
            <w:r>
              <w:rPr>
                <w:rFonts w:ascii="Times New Roman"/>
              </w:rPr>
              <w:t>410</w:t>
            </w:r>
          </w:p>
        </w:tc>
        <w:tc>
          <w:tcPr>
            <w:tcW w:w="2682" w:type="dxa"/>
            <w:shd w:val="clear" w:color="auto" w:fill="auto"/>
            <w:vAlign w:val="center"/>
          </w:tcPr>
          <w:p w14:paraId="7ECCCAD0">
            <w:pPr>
              <w:pStyle w:val="181"/>
              <w:rPr>
                <w:rFonts w:ascii="Times New Roman"/>
              </w:rPr>
            </w:pPr>
            <w:r>
              <w:rPr>
                <w:rFonts w:ascii="Times New Roman"/>
              </w:rPr>
              <w:t>0.000526</w:t>
            </w:r>
          </w:p>
        </w:tc>
        <w:tc>
          <w:tcPr>
            <w:tcW w:w="2921" w:type="dxa"/>
            <w:shd w:val="clear" w:color="auto" w:fill="auto"/>
            <w:vAlign w:val="center"/>
          </w:tcPr>
          <w:p w14:paraId="1C1E0D3B">
            <w:pPr>
              <w:pStyle w:val="181"/>
              <w:rPr>
                <w:rFonts w:ascii="Times New Roman"/>
              </w:rPr>
            </w:pPr>
            <w:r>
              <w:rPr>
                <w:rFonts w:ascii="Times New Roman"/>
              </w:rPr>
              <w:t>0.046155</w:t>
            </w:r>
          </w:p>
        </w:tc>
        <w:tc>
          <w:tcPr>
            <w:tcW w:w="2732" w:type="dxa"/>
            <w:shd w:val="clear" w:color="auto" w:fill="auto"/>
            <w:vAlign w:val="center"/>
          </w:tcPr>
          <w:p w14:paraId="38086B14">
            <w:pPr>
              <w:pStyle w:val="181"/>
              <w:rPr>
                <w:rFonts w:ascii="Times New Roman"/>
              </w:rPr>
            </w:pPr>
            <w:r>
              <w:rPr>
                <w:rFonts w:ascii="Times New Roman"/>
              </w:rPr>
              <w:t>0.001210</w:t>
            </w:r>
          </w:p>
        </w:tc>
      </w:tr>
      <w:tr w14:paraId="70A25B4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99" w:type="dxa"/>
            <w:shd w:val="clear" w:color="auto" w:fill="auto"/>
            <w:vAlign w:val="center"/>
          </w:tcPr>
          <w:p w14:paraId="2D056946">
            <w:pPr>
              <w:pStyle w:val="181"/>
              <w:rPr>
                <w:rFonts w:ascii="Times New Roman"/>
              </w:rPr>
            </w:pPr>
            <w:r>
              <w:rPr>
                <w:rFonts w:ascii="Times New Roman"/>
              </w:rPr>
              <w:t>415</w:t>
            </w:r>
          </w:p>
        </w:tc>
        <w:tc>
          <w:tcPr>
            <w:tcW w:w="2682" w:type="dxa"/>
            <w:shd w:val="clear" w:color="auto" w:fill="auto"/>
            <w:vAlign w:val="center"/>
          </w:tcPr>
          <w:p w14:paraId="5D60085B">
            <w:pPr>
              <w:pStyle w:val="181"/>
              <w:rPr>
                <w:rFonts w:ascii="Times New Roman"/>
              </w:rPr>
            </w:pPr>
            <w:r>
              <w:rPr>
                <w:rFonts w:ascii="Times New Roman"/>
              </w:rPr>
              <w:t>0.000906</w:t>
            </w:r>
          </w:p>
        </w:tc>
        <w:tc>
          <w:tcPr>
            <w:tcW w:w="2921" w:type="dxa"/>
            <w:shd w:val="clear" w:color="auto" w:fill="auto"/>
            <w:vAlign w:val="center"/>
          </w:tcPr>
          <w:p w14:paraId="6C37EA65">
            <w:pPr>
              <w:pStyle w:val="181"/>
              <w:rPr>
                <w:rFonts w:ascii="Times New Roman"/>
              </w:rPr>
            </w:pPr>
            <w:r>
              <w:rPr>
                <w:rFonts w:ascii="Times New Roman"/>
              </w:rPr>
              <w:t>0.079477</w:t>
            </w:r>
          </w:p>
        </w:tc>
        <w:tc>
          <w:tcPr>
            <w:tcW w:w="2732" w:type="dxa"/>
            <w:shd w:val="clear" w:color="auto" w:fill="auto"/>
            <w:vAlign w:val="center"/>
          </w:tcPr>
          <w:p w14:paraId="0CEBA8A3">
            <w:pPr>
              <w:pStyle w:val="181"/>
              <w:rPr>
                <w:rFonts w:ascii="Times New Roman"/>
              </w:rPr>
            </w:pPr>
            <w:r>
              <w:rPr>
                <w:rFonts w:ascii="Times New Roman"/>
              </w:rPr>
              <w:t>0.002180</w:t>
            </w:r>
          </w:p>
        </w:tc>
      </w:tr>
      <w:tr w14:paraId="3578F71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99" w:type="dxa"/>
            <w:shd w:val="clear" w:color="auto" w:fill="auto"/>
            <w:vAlign w:val="center"/>
          </w:tcPr>
          <w:p w14:paraId="160C7566">
            <w:pPr>
              <w:pStyle w:val="181"/>
              <w:rPr>
                <w:rFonts w:ascii="Times New Roman"/>
              </w:rPr>
            </w:pPr>
            <w:r>
              <w:rPr>
                <w:rFonts w:ascii="Times New Roman"/>
              </w:rPr>
              <w:t>420</w:t>
            </w:r>
          </w:p>
        </w:tc>
        <w:tc>
          <w:tcPr>
            <w:tcW w:w="2682" w:type="dxa"/>
            <w:shd w:val="clear" w:color="auto" w:fill="auto"/>
            <w:vAlign w:val="center"/>
          </w:tcPr>
          <w:p w14:paraId="129166D1">
            <w:pPr>
              <w:pStyle w:val="181"/>
              <w:rPr>
                <w:rFonts w:ascii="Times New Roman"/>
              </w:rPr>
            </w:pPr>
            <w:r>
              <w:rPr>
                <w:rFonts w:ascii="Times New Roman"/>
              </w:rPr>
              <w:t>0.001565</w:t>
            </w:r>
          </w:p>
        </w:tc>
        <w:tc>
          <w:tcPr>
            <w:tcW w:w="2921" w:type="dxa"/>
            <w:shd w:val="clear" w:color="auto" w:fill="auto"/>
            <w:vAlign w:val="center"/>
          </w:tcPr>
          <w:p w14:paraId="2F998A62">
            <w:pPr>
              <w:pStyle w:val="181"/>
              <w:rPr>
                <w:rFonts w:ascii="Times New Roman"/>
              </w:rPr>
            </w:pPr>
            <w:r>
              <w:rPr>
                <w:rFonts w:ascii="Times New Roman"/>
              </w:rPr>
              <w:t>0.137237</w:t>
            </w:r>
          </w:p>
        </w:tc>
        <w:tc>
          <w:tcPr>
            <w:tcW w:w="2732" w:type="dxa"/>
            <w:shd w:val="clear" w:color="auto" w:fill="auto"/>
            <w:vAlign w:val="center"/>
          </w:tcPr>
          <w:p w14:paraId="740C9585">
            <w:pPr>
              <w:pStyle w:val="181"/>
              <w:rPr>
                <w:rFonts w:ascii="Times New Roman"/>
              </w:rPr>
            </w:pPr>
            <w:r>
              <w:rPr>
                <w:rFonts w:ascii="Times New Roman"/>
              </w:rPr>
              <w:t>0.004000</w:t>
            </w:r>
          </w:p>
        </w:tc>
      </w:tr>
      <w:tr w14:paraId="578AD4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99" w:type="dxa"/>
            <w:shd w:val="clear" w:color="auto" w:fill="auto"/>
            <w:vAlign w:val="center"/>
          </w:tcPr>
          <w:p w14:paraId="6FE917EF">
            <w:pPr>
              <w:pStyle w:val="181"/>
              <w:rPr>
                <w:rFonts w:ascii="Times New Roman"/>
              </w:rPr>
            </w:pPr>
            <w:r>
              <w:rPr>
                <w:rFonts w:ascii="Times New Roman"/>
              </w:rPr>
              <w:t>425</w:t>
            </w:r>
          </w:p>
        </w:tc>
        <w:tc>
          <w:tcPr>
            <w:tcW w:w="2682" w:type="dxa"/>
            <w:shd w:val="clear" w:color="auto" w:fill="auto"/>
            <w:vAlign w:val="center"/>
          </w:tcPr>
          <w:p w14:paraId="1181204A">
            <w:pPr>
              <w:pStyle w:val="181"/>
              <w:rPr>
                <w:rFonts w:ascii="Times New Roman"/>
              </w:rPr>
            </w:pPr>
            <w:r>
              <w:rPr>
                <w:rFonts w:ascii="Times New Roman"/>
              </w:rPr>
              <w:t>0.002134</w:t>
            </w:r>
          </w:p>
        </w:tc>
        <w:tc>
          <w:tcPr>
            <w:tcW w:w="2921" w:type="dxa"/>
            <w:shd w:val="clear" w:color="auto" w:fill="auto"/>
            <w:vAlign w:val="center"/>
          </w:tcPr>
          <w:p w14:paraId="01FF48D3">
            <w:pPr>
              <w:pStyle w:val="181"/>
              <w:rPr>
                <w:rFonts w:ascii="Times New Roman"/>
              </w:rPr>
            </w:pPr>
            <w:r>
              <w:rPr>
                <w:rFonts w:ascii="Times New Roman"/>
              </w:rPr>
              <w:t>0.187096</w:t>
            </w:r>
          </w:p>
        </w:tc>
        <w:tc>
          <w:tcPr>
            <w:tcW w:w="2732" w:type="dxa"/>
            <w:shd w:val="clear" w:color="auto" w:fill="auto"/>
            <w:vAlign w:val="center"/>
          </w:tcPr>
          <w:p w14:paraId="76B4041F">
            <w:pPr>
              <w:pStyle w:val="181"/>
              <w:rPr>
                <w:rFonts w:ascii="Times New Roman"/>
              </w:rPr>
            </w:pPr>
            <w:r>
              <w:rPr>
                <w:rFonts w:ascii="Times New Roman"/>
              </w:rPr>
              <w:t>0.007300</w:t>
            </w:r>
          </w:p>
        </w:tc>
      </w:tr>
      <w:tr w14:paraId="2FD212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99" w:type="dxa"/>
            <w:shd w:val="clear" w:color="auto" w:fill="auto"/>
            <w:vAlign w:val="center"/>
          </w:tcPr>
          <w:p w14:paraId="666FDFF2">
            <w:pPr>
              <w:pStyle w:val="181"/>
              <w:rPr>
                <w:rFonts w:ascii="Times New Roman"/>
              </w:rPr>
            </w:pPr>
            <w:r>
              <w:rPr>
                <w:rFonts w:ascii="Times New Roman"/>
              </w:rPr>
              <w:t>430</w:t>
            </w:r>
          </w:p>
        </w:tc>
        <w:tc>
          <w:tcPr>
            <w:tcW w:w="2682" w:type="dxa"/>
            <w:shd w:val="clear" w:color="auto" w:fill="auto"/>
            <w:vAlign w:val="center"/>
          </w:tcPr>
          <w:p w14:paraId="1CE0F191">
            <w:pPr>
              <w:pStyle w:val="181"/>
              <w:rPr>
                <w:rFonts w:ascii="Times New Roman"/>
              </w:rPr>
            </w:pPr>
            <w:r>
              <w:rPr>
                <w:rFonts w:ascii="Times New Roman"/>
              </w:rPr>
              <w:t>0.002895</w:t>
            </w:r>
          </w:p>
        </w:tc>
        <w:tc>
          <w:tcPr>
            <w:tcW w:w="2921" w:type="dxa"/>
            <w:shd w:val="clear" w:color="auto" w:fill="auto"/>
            <w:vAlign w:val="center"/>
          </w:tcPr>
          <w:p w14:paraId="153A2734">
            <w:pPr>
              <w:pStyle w:val="181"/>
              <w:rPr>
                <w:rFonts w:ascii="Times New Roman"/>
              </w:rPr>
            </w:pPr>
            <w:r>
              <w:rPr>
                <w:rFonts w:ascii="Times New Roman"/>
              </w:rPr>
              <w:t>0.253865</w:t>
            </w:r>
          </w:p>
        </w:tc>
        <w:tc>
          <w:tcPr>
            <w:tcW w:w="2732" w:type="dxa"/>
            <w:shd w:val="clear" w:color="auto" w:fill="auto"/>
            <w:vAlign w:val="center"/>
          </w:tcPr>
          <w:p w14:paraId="0C58A493">
            <w:pPr>
              <w:pStyle w:val="181"/>
              <w:rPr>
                <w:rFonts w:ascii="Times New Roman"/>
              </w:rPr>
            </w:pPr>
            <w:r>
              <w:rPr>
                <w:rFonts w:ascii="Times New Roman"/>
              </w:rPr>
              <w:t>0.011600</w:t>
            </w:r>
          </w:p>
        </w:tc>
      </w:tr>
      <w:tr w14:paraId="0A047A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99" w:type="dxa"/>
            <w:shd w:val="clear" w:color="auto" w:fill="auto"/>
            <w:vAlign w:val="center"/>
          </w:tcPr>
          <w:p w14:paraId="3A34FBDF">
            <w:pPr>
              <w:pStyle w:val="181"/>
              <w:rPr>
                <w:rFonts w:ascii="Times New Roman"/>
              </w:rPr>
            </w:pPr>
            <w:r>
              <w:rPr>
                <w:rFonts w:ascii="Times New Roman"/>
              </w:rPr>
              <w:t>435</w:t>
            </w:r>
          </w:p>
        </w:tc>
        <w:tc>
          <w:tcPr>
            <w:tcW w:w="2682" w:type="dxa"/>
            <w:shd w:val="clear" w:color="auto" w:fill="auto"/>
            <w:vAlign w:val="center"/>
          </w:tcPr>
          <w:p w14:paraId="6AA657F8">
            <w:pPr>
              <w:pStyle w:val="181"/>
              <w:rPr>
                <w:rFonts w:ascii="Times New Roman"/>
              </w:rPr>
            </w:pPr>
            <w:r>
              <w:rPr>
                <w:rFonts w:ascii="Times New Roman"/>
              </w:rPr>
              <w:t>0.003658</w:t>
            </w:r>
          </w:p>
        </w:tc>
        <w:tc>
          <w:tcPr>
            <w:tcW w:w="2921" w:type="dxa"/>
            <w:shd w:val="clear" w:color="auto" w:fill="auto"/>
            <w:vAlign w:val="center"/>
          </w:tcPr>
          <w:p w14:paraId="57BEACDC">
            <w:pPr>
              <w:pStyle w:val="181"/>
              <w:rPr>
                <w:rFonts w:ascii="Times New Roman"/>
              </w:rPr>
            </w:pPr>
            <w:r>
              <w:rPr>
                <w:rFonts w:ascii="Times New Roman"/>
              </w:rPr>
              <w:t>0.320679</w:t>
            </w:r>
          </w:p>
        </w:tc>
        <w:tc>
          <w:tcPr>
            <w:tcW w:w="2732" w:type="dxa"/>
            <w:shd w:val="clear" w:color="auto" w:fill="auto"/>
            <w:vAlign w:val="center"/>
          </w:tcPr>
          <w:p w14:paraId="3FE7B599">
            <w:pPr>
              <w:pStyle w:val="181"/>
              <w:rPr>
                <w:rFonts w:ascii="Times New Roman"/>
              </w:rPr>
            </w:pPr>
            <w:r>
              <w:rPr>
                <w:rFonts w:ascii="Times New Roman"/>
              </w:rPr>
              <w:t>0.016840</w:t>
            </w:r>
          </w:p>
        </w:tc>
      </w:tr>
      <w:tr w14:paraId="087CEDF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99" w:type="dxa"/>
            <w:shd w:val="clear" w:color="auto" w:fill="auto"/>
            <w:vAlign w:val="center"/>
          </w:tcPr>
          <w:p w14:paraId="7ADB0126">
            <w:pPr>
              <w:pStyle w:val="181"/>
              <w:rPr>
                <w:rFonts w:ascii="Times New Roman"/>
              </w:rPr>
            </w:pPr>
            <w:r>
              <w:rPr>
                <w:rFonts w:ascii="Times New Roman"/>
              </w:rPr>
              <w:t>440</w:t>
            </w:r>
          </w:p>
        </w:tc>
        <w:tc>
          <w:tcPr>
            <w:tcW w:w="2682" w:type="dxa"/>
            <w:shd w:val="clear" w:color="auto" w:fill="auto"/>
            <w:vAlign w:val="center"/>
          </w:tcPr>
          <w:p w14:paraId="0E9C8086">
            <w:pPr>
              <w:pStyle w:val="181"/>
              <w:rPr>
                <w:rFonts w:ascii="Times New Roman"/>
              </w:rPr>
            </w:pPr>
            <w:r>
              <w:rPr>
                <w:rFonts w:ascii="Times New Roman"/>
              </w:rPr>
              <w:t>0.004580</w:t>
            </w:r>
          </w:p>
        </w:tc>
        <w:tc>
          <w:tcPr>
            <w:tcW w:w="2921" w:type="dxa"/>
            <w:shd w:val="clear" w:color="auto" w:fill="auto"/>
            <w:vAlign w:val="center"/>
          </w:tcPr>
          <w:p w14:paraId="1AFD90B9">
            <w:pPr>
              <w:pStyle w:val="181"/>
              <w:rPr>
                <w:rFonts w:ascii="Times New Roman"/>
              </w:rPr>
            </w:pPr>
            <w:r>
              <w:rPr>
                <w:rFonts w:ascii="Times New Roman"/>
              </w:rPr>
              <w:t>0.401587</w:t>
            </w:r>
          </w:p>
        </w:tc>
        <w:tc>
          <w:tcPr>
            <w:tcW w:w="2732" w:type="dxa"/>
            <w:shd w:val="clear" w:color="auto" w:fill="auto"/>
            <w:vAlign w:val="center"/>
          </w:tcPr>
          <w:p w14:paraId="4CB05455">
            <w:pPr>
              <w:pStyle w:val="181"/>
              <w:rPr>
                <w:rFonts w:ascii="Times New Roman"/>
              </w:rPr>
            </w:pPr>
            <w:r>
              <w:rPr>
                <w:rFonts w:ascii="Times New Roman"/>
              </w:rPr>
              <w:t>0.023000</w:t>
            </w:r>
          </w:p>
        </w:tc>
      </w:tr>
      <w:tr w14:paraId="734828F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99" w:type="dxa"/>
            <w:shd w:val="clear" w:color="auto" w:fill="auto"/>
            <w:vAlign w:val="center"/>
          </w:tcPr>
          <w:p w14:paraId="7391C2BC">
            <w:pPr>
              <w:pStyle w:val="181"/>
              <w:rPr>
                <w:rFonts w:ascii="Times New Roman"/>
              </w:rPr>
            </w:pPr>
            <w:r>
              <w:rPr>
                <w:rFonts w:ascii="Times New Roman"/>
              </w:rPr>
              <w:t>445</w:t>
            </w:r>
          </w:p>
        </w:tc>
        <w:tc>
          <w:tcPr>
            <w:tcW w:w="2682" w:type="dxa"/>
            <w:shd w:val="clear" w:color="auto" w:fill="auto"/>
            <w:vAlign w:val="center"/>
          </w:tcPr>
          <w:p w14:paraId="0F01CBE8">
            <w:pPr>
              <w:pStyle w:val="181"/>
              <w:rPr>
                <w:rFonts w:ascii="Times New Roman"/>
              </w:rPr>
            </w:pPr>
            <w:r>
              <w:rPr>
                <w:rFonts w:ascii="Times New Roman"/>
              </w:rPr>
              <w:t>0.005406</w:t>
            </w:r>
          </w:p>
        </w:tc>
        <w:tc>
          <w:tcPr>
            <w:tcW w:w="2921" w:type="dxa"/>
            <w:shd w:val="clear" w:color="auto" w:fill="auto"/>
            <w:vAlign w:val="center"/>
          </w:tcPr>
          <w:p w14:paraId="38298898">
            <w:pPr>
              <w:pStyle w:val="181"/>
              <w:rPr>
                <w:rFonts w:ascii="Times New Roman"/>
              </w:rPr>
            </w:pPr>
            <w:r>
              <w:rPr>
                <w:rFonts w:ascii="Times New Roman"/>
              </w:rPr>
              <w:t>0.474002</w:t>
            </w:r>
          </w:p>
        </w:tc>
        <w:tc>
          <w:tcPr>
            <w:tcW w:w="2732" w:type="dxa"/>
            <w:shd w:val="clear" w:color="auto" w:fill="auto"/>
            <w:vAlign w:val="center"/>
          </w:tcPr>
          <w:p w14:paraId="0DDBAEF1">
            <w:pPr>
              <w:pStyle w:val="181"/>
              <w:rPr>
                <w:rFonts w:ascii="Times New Roman"/>
              </w:rPr>
            </w:pPr>
            <w:r>
              <w:rPr>
                <w:rFonts w:ascii="Times New Roman"/>
              </w:rPr>
              <w:t>0.029800</w:t>
            </w:r>
          </w:p>
        </w:tc>
      </w:tr>
      <w:tr w14:paraId="77E2639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99" w:type="dxa"/>
            <w:shd w:val="clear" w:color="auto" w:fill="auto"/>
            <w:vAlign w:val="center"/>
          </w:tcPr>
          <w:p w14:paraId="69CB5EC8">
            <w:pPr>
              <w:pStyle w:val="181"/>
              <w:rPr>
                <w:rFonts w:ascii="Times New Roman"/>
              </w:rPr>
            </w:pPr>
            <w:r>
              <w:rPr>
                <w:rFonts w:ascii="Times New Roman"/>
              </w:rPr>
              <w:t>450</w:t>
            </w:r>
          </w:p>
        </w:tc>
        <w:tc>
          <w:tcPr>
            <w:tcW w:w="2682" w:type="dxa"/>
            <w:shd w:val="clear" w:color="auto" w:fill="auto"/>
            <w:vAlign w:val="center"/>
          </w:tcPr>
          <w:p w14:paraId="22C7EB06">
            <w:pPr>
              <w:pStyle w:val="181"/>
              <w:rPr>
                <w:rFonts w:ascii="Times New Roman"/>
              </w:rPr>
            </w:pPr>
            <w:r>
              <w:rPr>
                <w:rFonts w:ascii="Times New Roman"/>
              </w:rPr>
              <w:t>0.006315</w:t>
            </w:r>
          </w:p>
        </w:tc>
        <w:tc>
          <w:tcPr>
            <w:tcW w:w="2921" w:type="dxa"/>
            <w:shd w:val="clear" w:color="auto" w:fill="auto"/>
            <w:vAlign w:val="center"/>
          </w:tcPr>
          <w:p w14:paraId="3EA771EB">
            <w:pPr>
              <w:pStyle w:val="181"/>
              <w:rPr>
                <w:rFonts w:ascii="Times New Roman"/>
              </w:rPr>
            </w:pPr>
            <w:r>
              <w:rPr>
                <w:rFonts w:ascii="Times New Roman"/>
              </w:rPr>
              <w:t>0.553715</w:t>
            </w:r>
          </w:p>
        </w:tc>
        <w:tc>
          <w:tcPr>
            <w:tcW w:w="2732" w:type="dxa"/>
            <w:shd w:val="clear" w:color="auto" w:fill="auto"/>
            <w:vAlign w:val="center"/>
          </w:tcPr>
          <w:p w14:paraId="111FEE04">
            <w:pPr>
              <w:pStyle w:val="181"/>
              <w:rPr>
                <w:rFonts w:ascii="Times New Roman"/>
              </w:rPr>
            </w:pPr>
            <w:r>
              <w:rPr>
                <w:rFonts w:ascii="Times New Roman"/>
              </w:rPr>
              <w:t>0.038000</w:t>
            </w:r>
          </w:p>
        </w:tc>
      </w:tr>
      <w:tr w14:paraId="1CC510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99" w:type="dxa"/>
            <w:shd w:val="clear" w:color="auto" w:fill="auto"/>
            <w:vAlign w:val="center"/>
          </w:tcPr>
          <w:p w14:paraId="73A70828">
            <w:pPr>
              <w:pStyle w:val="181"/>
              <w:rPr>
                <w:rFonts w:ascii="Times New Roman"/>
              </w:rPr>
            </w:pPr>
            <w:r>
              <w:rPr>
                <w:rFonts w:ascii="Times New Roman"/>
              </w:rPr>
              <w:t>455</w:t>
            </w:r>
          </w:p>
        </w:tc>
        <w:tc>
          <w:tcPr>
            <w:tcW w:w="2682" w:type="dxa"/>
            <w:shd w:val="clear" w:color="auto" w:fill="auto"/>
            <w:vAlign w:val="center"/>
          </w:tcPr>
          <w:p w14:paraId="6A06C3D6">
            <w:pPr>
              <w:pStyle w:val="181"/>
              <w:rPr>
                <w:rFonts w:ascii="Times New Roman"/>
              </w:rPr>
            </w:pPr>
            <w:r>
              <w:rPr>
                <w:rFonts w:ascii="Times New Roman"/>
              </w:rPr>
              <w:t>0.007182</w:t>
            </w:r>
          </w:p>
        </w:tc>
        <w:tc>
          <w:tcPr>
            <w:tcW w:w="2921" w:type="dxa"/>
            <w:shd w:val="clear" w:color="auto" w:fill="auto"/>
            <w:vAlign w:val="center"/>
          </w:tcPr>
          <w:p w14:paraId="2D22C98D">
            <w:pPr>
              <w:pStyle w:val="181"/>
              <w:rPr>
                <w:rFonts w:ascii="Times New Roman"/>
              </w:rPr>
            </w:pPr>
            <w:r>
              <w:rPr>
                <w:rFonts w:ascii="Times New Roman"/>
              </w:rPr>
              <w:t>0.629654</w:t>
            </w:r>
          </w:p>
        </w:tc>
        <w:tc>
          <w:tcPr>
            <w:tcW w:w="2732" w:type="dxa"/>
            <w:shd w:val="clear" w:color="auto" w:fill="auto"/>
            <w:vAlign w:val="center"/>
          </w:tcPr>
          <w:p w14:paraId="3BC91548">
            <w:pPr>
              <w:pStyle w:val="181"/>
              <w:rPr>
                <w:rFonts w:ascii="Times New Roman"/>
              </w:rPr>
            </w:pPr>
            <w:r>
              <w:rPr>
                <w:rFonts w:ascii="Times New Roman"/>
              </w:rPr>
              <w:t>0.048000</w:t>
            </w:r>
          </w:p>
        </w:tc>
      </w:tr>
      <w:tr w14:paraId="1BFF961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99" w:type="dxa"/>
            <w:shd w:val="clear" w:color="auto" w:fill="auto"/>
            <w:vAlign w:val="center"/>
          </w:tcPr>
          <w:p w14:paraId="2FAE497F">
            <w:pPr>
              <w:pStyle w:val="181"/>
              <w:rPr>
                <w:rFonts w:ascii="Times New Roman"/>
              </w:rPr>
            </w:pPr>
            <w:r>
              <w:rPr>
                <w:rFonts w:ascii="Times New Roman"/>
              </w:rPr>
              <w:t>460</w:t>
            </w:r>
          </w:p>
        </w:tc>
        <w:tc>
          <w:tcPr>
            <w:tcW w:w="2682" w:type="dxa"/>
            <w:shd w:val="clear" w:color="auto" w:fill="auto"/>
            <w:vAlign w:val="center"/>
          </w:tcPr>
          <w:p w14:paraId="702264C9">
            <w:pPr>
              <w:pStyle w:val="181"/>
              <w:rPr>
                <w:rFonts w:ascii="Times New Roman"/>
              </w:rPr>
            </w:pPr>
            <w:r>
              <w:rPr>
                <w:rFonts w:ascii="Times New Roman"/>
              </w:rPr>
              <w:t>0.008076</w:t>
            </w:r>
          </w:p>
        </w:tc>
        <w:tc>
          <w:tcPr>
            <w:tcW w:w="2921" w:type="dxa"/>
            <w:shd w:val="clear" w:color="auto" w:fill="auto"/>
            <w:vAlign w:val="center"/>
          </w:tcPr>
          <w:p w14:paraId="7F47FDF2">
            <w:pPr>
              <w:pStyle w:val="181"/>
              <w:rPr>
                <w:rFonts w:ascii="Times New Roman"/>
              </w:rPr>
            </w:pPr>
            <w:r>
              <w:rPr>
                <w:rFonts w:ascii="Times New Roman"/>
              </w:rPr>
              <w:t>0.708049</w:t>
            </w:r>
          </w:p>
        </w:tc>
        <w:tc>
          <w:tcPr>
            <w:tcW w:w="2732" w:type="dxa"/>
            <w:shd w:val="clear" w:color="auto" w:fill="auto"/>
            <w:vAlign w:val="center"/>
          </w:tcPr>
          <w:p w14:paraId="4613C840">
            <w:pPr>
              <w:pStyle w:val="181"/>
              <w:rPr>
                <w:rFonts w:ascii="Times New Roman"/>
              </w:rPr>
            </w:pPr>
            <w:r>
              <w:rPr>
                <w:rFonts w:ascii="Times New Roman"/>
              </w:rPr>
              <w:t>0.060000</w:t>
            </w:r>
          </w:p>
        </w:tc>
      </w:tr>
      <w:tr w14:paraId="2371ABA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99" w:type="dxa"/>
            <w:shd w:val="clear" w:color="auto" w:fill="auto"/>
            <w:vAlign w:val="center"/>
          </w:tcPr>
          <w:p w14:paraId="345912FD">
            <w:pPr>
              <w:pStyle w:val="181"/>
              <w:rPr>
                <w:rFonts w:ascii="Times New Roman"/>
              </w:rPr>
            </w:pPr>
            <w:r>
              <w:rPr>
                <w:rFonts w:ascii="Times New Roman"/>
              </w:rPr>
              <w:t>465</w:t>
            </w:r>
          </w:p>
        </w:tc>
        <w:tc>
          <w:tcPr>
            <w:tcW w:w="2682" w:type="dxa"/>
            <w:shd w:val="clear" w:color="auto" w:fill="auto"/>
            <w:vAlign w:val="center"/>
          </w:tcPr>
          <w:p w14:paraId="04AC8D8E">
            <w:pPr>
              <w:pStyle w:val="181"/>
              <w:rPr>
                <w:rFonts w:ascii="Times New Roman"/>
              </w:rPr>
            </w:pPr>
            <w:r>
              <w:rPr>
                <w:rFonts w:ascii="Times New Roman"/>
              </w:rPr>
              <w:t>0.008956</w:t>
            </w:r>
          </w:p>
        </w:tc>
        <w:tc>
          <w:tcPr>
            <w:tcW w:w="2921" w:type="dxa"/>
            <w:shd w:val="clear" w:color="auto" w:fill="auto"/>
            <w:vAlign w:val="center"/>
          </w:tcPr>
          <w:p w14:paraId="0BBB6DBF">
            <w:pPr>
              <w:pStyle w:val="181"/>
              <w:rPr>
                <w:rFonts w:ascii="Times New Roman"/>
              </w:rPr>
            </w:pPr>
            <w:r>
              <w:rPr>
                <w:rFonts w:ascii="Times New Roman"/>
              </w:rPr>
              <w:t>0.785216</w:t>
            </w:r>
          </w:p>
        </w:tc>
        <w:tc>
          <w:tcPr>
            <w:tcW w:w="2732" w:type="dxa"/>
            <w:shd w:val="clear" w:color="auto" w:fill="auto"/>
            <w:vAlign w:val="center"/>
          </w:tcPr>
          <w:p w14:paraId="57294F30">
            <w:pPr>
              <w:pStyle w:val="181"/>
              <w:rPr>
                <w:rFonts w:ascii="Times New Roman"/>
              </w:rPr>
            </w:pPr>
            <w:r>
              <w:rPr>
                <w:rFonts w:ascii="Times New Roman"/>
              </w:rPr>
              <w:t>0.073900</w:t>
            </w:r>
          </w:p>
        </w:tc>
      </w:tr>
      <w:tr w14:paraId="79C6758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99" w:type="dxa"/>
            <w:shd w:val="clear" w:color="auto" w:fill="auto"/>
            <w:vAlign w:val="center"/>
          </w:tcPr>
          <w:p w14:paraId="354047AD">
            <w:pPr>
              <w:pStyle w:val="181"/>
              <w:rPr>
                <w:rFonts w:ascii="Times New Roman"/>
              </w:rPr>
            </w:pPr>
            <w:r>
              <w:rPr>
                <w:rFonts w:ascii="Times New Roman"/>
              </w:rPr>
              <w:t>470</w:t>
            </w:r>
          </w:p>
        </w:tc>
        <w:tc>
          <w:tcPr>
            <w:tcW w:w="2682" w:type="dxa"/>
            <w:shd w:val="clear" w:color="auto" w:fill="auto"/>
            <w:vAlign w:val="center"/>
          </w:tcPr>
          <w:p w14:paraId="1F99DE29">
            <w:pPr>
              <w:pStyle w:val="181"/>
              <w:rPr>
                <w:rFonts w:ascii="Times New Roman"/>
              </w:rPr>
            </w:pPr>
            <w:r>
              <w:rPr>
                <w:rFonts w:ascii="Times New Roman"/>
              </w:rPr>
              <w:t>0.009812</w:t>
            </w:r>
          </w:p>
        </w:tc>
        <w:tc>
          <w:tcPr>
            <w:tcW w:w="2921" w:type="dxa"/>
            <w:shd w:val="clear" w:color="auto" w:fill="auto"/>
            <w:vAlign w:val="center"/>
          </w:tcPr>
          <w:p w14:paraId="2F43E1C5">
            <w:pPr>
              <w:pStyle w:val="181"/>
              <w:rPr>
                <w:rFonts w:ascii="Times New Roman"/>
              </w:rPr>
            </w:pPr>
            <w:r>
              <w:rPr>
                <w:rFonts w:ascii="Times New Roman"/>
              </w:rPr>
              <w:t>0.860291</w:t>
            </w:r>
          </w:p>
        </w:tc>
        <w:tc>
          <w:tcPr>
            <w:tcW w:w="2732" w:type="dxa"/>
            <w:shd w:val="clear" w:color="auto" w:fill="auto"/>
            <w:vAlign w:val="center"/>
          </w:tcPr>
          <w:p w14:paraId="3863FC6C">
            <w:pPr>
              <w:pStyle w:val="181"/>
              <w:rPr>
                <w:rFonts w:ascii="Times New Roman"/>
              </w:rPr>
            </w:pPr>
            <w:r>
              <w:rPr>
                <w:rFonts w:ascii="Times New Roman"/>
              </w:rPr>
              <w:t>0.090980</w:t>
            </w:r>
          </w:p>
        </w:tc>
      </w:tr>
      <w:tr w14:paraId="17FD851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99" w:type="dxa"/>
            <w:shd w:val="clear" w:color="auto" w:fill="auto"/>
            <w:vAlign w:val="center"/>
          </w:tcPr>
          <w:p w14:paraId="58C11889">
            <w:pPr>
              <w:pStyle w:val="181"/>
              <w:rPr>
                <w:rFonts w:ascii="Times New Roman"/>
              </w:rPr>
            </w:pPr>
            <w:r>
              <w:rPr>
                <w:rFonts w:ascii="Times New Roman"/>
              </w:rPr>
              <w:t>475</w:t>
            </w:r>
          </w:p>
        </w:tc>
        <w:tc>
          <w:tcPr>
            <w:tcW w:w="2682" w:type="dxa"/>
            <w:shd w:val="clear" w:color="auto" w:fill="auto"/>
            <w:vAlign w:val="center"/>
          </w:tcPr>
          <w:p w14:paraId="21FB0687">
            <w:pPr>
              <w:pStyle w:val="181"/>
              <w:rPr>
                <w:rFonts w:ascii="Times New Roman"/>
              </w:rPr>
            </w:pPr>
            <w:r>
              <w:rPr>
                <w:rFonts w:ascii="Times New Roman"/>
              </w:rPr>
              <w:t>0.010467</w:t>
            </w:r>
          </w:p>
        </w:tc>
        <w:tc>
          <w:tcPr>
            <w:tcW w:w="2921" w:type="dxa"/>
            <w:shd w:val="clear" w:color="auto" w:fill="auto"/>
            <w:vAlign w:val="center"/>
          </w:tcPr>
          <w:p w14:paraId="440F2D94">
            <w:pPr>
              <w:pStyle w:val="181"/>
              <w:rPr>
                <w:rFonts w:ascii="Times New Roman"/>
              </w:rPr>
            </w:pPr>
            <w:r>
              <w:rPr>
                <w:rFonts w:ascii="Times New Roman"/>
              </w:rPr>
              <w:t>0.917734</w:t>
            </w:r>
          </w:p>
        </w:tc>
        <w:tc>
          <w:tcPr>
            <w:tcW w:w="2732" w:type="dxa"/>
            <w:shd w:val="clear" w:color="auto" w:fill="auto"/>
            <w:vAlign w:val="center"/>
          </w:tcPr>
          <w:p w14:paraId="683BFB83">
            <w:pPr>
              <w:pStyle w:val="181"/>
              <w:rPr>
                <w:rFonts w:ascii="Times New Roman"/>
              </w:rPr>
            </w:pPr>
            <w:r>
              <w:rPr>
                <w:rFonts w:ascii="Times New Roman"/>
              </w:rPr>
              <w:t>0.112600</w:t>
            </w:r>
          </w:p>
        </w:tc>
      </w:tr>
      <w:tr w14:paraId="5B8ABA7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99" w:type="dxa"/>
            <w:shd w:val="clear" w:color="auto" w:fill="auto"/>
            <w:vAlign w:val="center"/>
          </w:tcPr>
          <w:p w14:paraId="632A4503">
            <w:pPr>
              <w:pStyle w:val="181"/>
              <w:rPr>
                <w:rFonts w:ascii="Times New Roman"/>
              </w:rPr>
            </w:pPr>
            <w:r>
              <w:rPr>
                <w:rFonts w:ascii="Times New Roman"/>
              </w:rPr>
              <w:t>480</w:t>
            </w:r>
          </w:p>
        </w:tc>
        <w:tc>
          <w:tcPr>
            <w:tcW w:w="2682" w:type="dxa"/>
            <w:shd w:val="clear" w:color="auto" w:fill="auto"/>
            <w:vAlign w:val="center"/>
          </w:tcPr>
          <w:p w14:paraId="31C8FC81">
            <w:pPr>
              <w:pStyle w:val="181"/>
              <w:rPr>
                <w:rFonts w:ascii="Times New Roman"/>
              </w:rPr>
            </w:pPr>
            <w:r>
              <w:rPr>
                <w:rFonts w:ascii="Times New Roman"/>
              </w:rPr>
              <w:t>0.011013</w:t>
            </w:r>
          </w:p>
        </w:tc>
        <w:tc>
          <w:tcPr>
            <w:tcW w:w="2921" w:type="dxa"/>
            <w:shd w:val="clear" w:color="auto" w:fill="auto"/>
            <w:vAlign w:val="center"/>
          </w:tcPr>
          <w:p w14:paraId="2182498B">
            <w:pPr>
              <w:pStyle w:val="181"/>
              <w:rPr>
                <w:rFonts w:ascii="Times New Roman"/>
              </w:rPr>
            </w:pPr>
            <w:r>
              <w:rPr>
                <w:rFonts w:ascii="Times New Roman"/>
              </w:rPr>
              <w:t>0.965605</w:t>
            </w:r>
          </w:p>
        </w:tc>
        <w:tc>
          <w:tcPr>
            <w:tcW w:w="2732" w:type="dxa"/>
            <w:shd w:val="clear" w:color="auto" w:fill="auto"/>
            <w:vAlign w:val="center"/>
          </w:tcPr>
          <w:p w14:paraId="570D24F8">
            <w:pPr>
              <w:pStyle w:val="181"/>
              <w:rPr>
                <w:rFonts w:ascii="Times New Roman"/>
              </w:rPr>
            </w:pPr>
            <w:r>
              <w:rPr>
                <w:rFonts w:ascii="Times New Roman"/>
              </w:rPr>
              <w:t>0.139020</w:t>
            </w:r>
          </w:p>
        </w:tc>
      </w:tr>
      <w:tr w14:paraId="4AC040E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99" w:type="dxa"/>
            <w:shd w:val="clear" w:color="auto" w:fill="auto"/>
            <w:vAlign w:val="center"/>
          </w:tcPr>
          <w:p w14:paraId="6E56BDB5">
            <w:pPr>
              <w:pStyle w:val="181"/>
              <w:rPr>
                <w:rFonts w:ascii="Times New Roman"/>
              </w:rPr>
            </w:pPr>
            <w:r>
              <w:rPr>
                <w:rFonts w:ascii="Times New Roman"/>
              </w:rPr>
              <w:t>485</w:t>
            </w:r>
          </w:p>
        </w:tc>
        <w:tc>
          <w:tcPr>
            <w:tcW w:w="2682" w:type="dxa"/>
            <w:shd w:val="clear" w:color="auto" w:fill="auto"/>
            <w:vAlign w:val="center"/>
          </w:tcPr>
          <w:p w14:paraId="63968EA1">
            <w:pPr>
              <w:pStyle w:val="181"/>
              <w:rPr>
                <w:rFonts w:ascii="Times New Roman"/>
              </w:rPr>
            </w:pPr>
            <w:r>
              <w:rPr>
                <w:rFonts w:ascii="Times New Roman"/>
              </w:rPr>
              <w:t>0.011299</w:t>
            </w:r>
          </w:p>
        </w:tc>
        <w:tc>
          <w:tcPr>
            <w:tcW w:w="2921" w:type="dxa"/>
            <w:shd w:val="clear" w:color="auto" w:fill="auto"/>
            <w:vAlign w:val="center"/>
          </w:tcPr>
          <w:p w14:paraId="163709B7">
            <w:pPr>
              <w:pStyle w:val="181"/>
              <w:rPr>
                <w:rFonts w:ascii="Times New Roman"/>
              </w:rPr>
            </w:pPr>
            <w:r>
              <w:rPr>
                <w:rFonts w:ascii="Times New Roman"/>
              </w:rPr>
              <w:t>0.990621</w:t>
            </w:r>
          </w:p>
        </w:tc>
        <w:tc>
          <w:tcPr>
            <w:tcW w:w="2732" w:type="dxa"/>
            <w:shd w:val="clear" w:color="auto" w:fill="auto"/>
            <w:vAlign w:val="center"/>
          </w:tcPr>
          <w:p w14:paraId="4B6A7D69">
            <w:pPr>
              <w:pStyle w:val="181"/>
              <w:rPr>
                <w:rFonts w:ascii="Times New Roman"/>
              </w:rPr>
            </w:pPr>
            <w:r>
              <w:rPr>
                <w:rFonts w:ascii="Times New Roman"/>
              </w:rPr>
              <w:t>0.169300</w:t>
            </w:r>
          </w:p>
        </w:tc>
      </w:tr>
      <w:tr w14:paraId="298C461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99" w:type="dxa"/>
            <w:shd w:val="clear" w:color="auto" w:fill="auto"/>
            <w:vAlign w:val="center"/>
          </w:tcPr>
          <w:p w14:paraId="36B3DA14">
            <w:pPr>
              <w:pStyle w:val="181"/>
              <w:rPr>
                <w:rFonts w:ascii="Times New Roman"/>
              </w:rPr>
            </w:pPr>
            <w:r>
              <w:rPr>
                <w:rFonts w:ascii="Times New Roman"/>
              </w:rPr>
              <w:t>490</w:t>
            </w:r>
          </w:p>
        </w:tc>
        <w:tc>
          <w:tcPr>
            <w:tcW w:w="2682" w:type="dxa"/>
            <w:shd w:val="clear" w:color="auto" w:fill="auto"/>
            <w:vAlign w:val="center"/>
          </w:tcPr>
          <w:p w14:paraId="01CE2D7E">
            <w:pPr>
              <w:pStyle w:val="181"/>
              <w:rPr>
                <w:rFonts w:ascii="Times New Roman"/>
              </w:rPr>
            </w:pPr>
            <w:r>
              <w:rPr>
                <w:rFonts w:ascii="Times New Roman"/>
              </w:rPr>
              <w:t>0.011406</w:t>
            </w:r>
          </w:p>
        </w:tc>
        <w:tc>
          <w:tcPr>
            <w:tcW w:w="2921" w:type="dxa"/>
            <w:shd w:val="clear" w:color="auto" w:fill="auto"/>
            <w:vAlign w:val="center"/>
          </w:tcPr>
          <w:p w14:paraId="31793932">
            <w:pPr>
              <w:pStyle w:val="181"/>
              <w:rPr>
                <w:rFonts w:ascii="Times New Roman"/>
              </w:rPr>
            </w:pPr>
            <w:r>
              <w:rPr>
                <w:rFonts w:ascii="Times New Roman"/>
              </w:rPr>
              <w:t>1.000000</w:t>
            </w:r>
          </w:p>
        </w:tc>
        <w:tc>
          <w:tcPr>
            <w:tcW w:w="2732" w:type="dxa"/>
            <w:shd w:val="clear" w:color="auto" w:fill="auto"/>
            <w:vAlign w:val="center"/>
          </w:tcPr>
          <w:p w14:paraId="08869FDE">
            <w:pPr>
              <w:pStyle w:val="181"/>
              <w:rPr>
                <w:rFonts w:ascii="Times New Roman"/>
              </w:rPr>
            </w:pPr>
            <w:r>
              <w:rPr>
                <w:rFonts w:ascii="Times New Roman"/>
              </w:rPr>
              <w:t>0.208020</w:t>
            </w:r>
          </w:p>
        </w:tc>
      </w:tr>
      <w:tr w14:paraId="659CC60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99" w:type="dxa"/>
            <w:shd w:val="clear" w:color="auto" w:fill="auto"/>
            <w:vAlign w:val="center"/>
          </w:tcPr>
          <w:p w14:paraId="5F294D5A">
            <w:pPr>
              <w:pStyle w:val="181"/>
              <w:rPr>
                <w:rFonts w:ascii="Times New Roman"/>
              </w:rPr>
            </w:pPr>
            <w:r>
              <w:rPr>
                <w:rFonts w:ascii="Times New Roman"/>
              </w:rPr>
              <w:t>495</w:t>
            </w:r>
          </w:p>
        </w:tc>
        <w:tc>
          <w:tcPr>
            <w:tcW w:w="2682" w:type="dxa"/>
            <w:shd w:val="clear" w:color="auto" w:fill="auto"/>
            <w:vAlign w:val="center"/>
          </w:tcPr>
          <w:p w14:paraId="778DE299">
            <w:pPr>
              <w:pStyle w:val="181"/>
              <w:rPr>
                <w:rFonts w:ascii="Times New Roman"/>
              </w:rPr>
            </w:pPr>
            <w:r>
              <w:rPr>
                <w:rFonts w:ascii="Times New Roman"/>
              </w:rPr>
              <w:t>0.011315</w:t>
            </w:r>
          </w:p>
        </w:tc>
        <w:tc>
          <w:tcPr>
            <w:tcW w:w="2921" w:type="dxa"/>
            <w:shd w:val="clear" w:color="auto" w:fill="auto"/>
            <w:vAlign w:val="center"/>
          </w:tcPr>
          <w:p w14:paraId="3FFDC9BB">
            <w:pPr>
              <w:pStyle w:val="181"/>
              <w:rPr>
                <w:rFonts w:ascii="Times New Roman"/>
              </w:rPr>
            </w:pPr>
            <w:r>
              <w:rPr>
                <w:rFonts w:ascii="Times New Roman"/>
              </w:rPr>
              <w:t>0.992022</w:t>
            </w:r>
          </w:p>
        </w:tc>
        <w:tc>
          <w:tcPr>
            <w:tcW w:w="2732" w:type="dxa"/>
            <w:shd w:val="clear" w:color="auto" w:fill="auto"/>
            <w:vAlign w:val="center"/>
          </w:tcPr>
          <w:p w14:paraId="43814395">
            <w:pPr>
              <w:pStyle w:val="181"/>
              <w:rPr>
                <w:rFonts w:ascii="Times New Roman"/>
              </w:rPr>
            </w:pPr>
            <w:r>
              <w:rPr>
                <w:rFonts w:ascii="Times New Roman"/>
              </w:rPr>
              <w:t>0.258600</w:t>
            </w:r>
          </w:p>
        </w:tc>
      </w:tr>
      <w:tr w14:paraId="0782F64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99" w:type="dxa"/>
            <w:shd w:val="clear" w:color="auto" w:fill="auto"/>
            <w:vAlign w:val="center"/>
          </w:tcPr>
          <w:p w14:paraId="59A8ADF1">
            <w:pPr>
              <w:pStyle w:val="181"/>
              <w:rPr>
                <w:rFonts w:ascii="Times New Roman"/>
              </w:rPr>
            </w:pPr>
            <w:r>
              <w:rPr>
                <w:rFonts w:ascii="Times New Roman"/>
              </w:rPr>
              <w:t>500</w:t>
            </w:r>
          </w:p>
        </w:tc>
        <w:tc>
          <w:tcPr>
            <w:tcW w:w="2682" w:type="dxa"/>
            <w:shd w:val="clear" w:color="auto" w:fill="auto"/>
            <w:vAlign w:val="center"/>
          </w:tcPr>
          <w:p w14:paraId="27561EFC">
            <w:pPr>
              <w:pStyle w:val="181"/>
              <w:rPr>
                <w:rFonts w:ascii="Times New Roman"/>
              </w:rPr>
            </w:pPr>
            <w:r>
              <w:rPr>
                <w:rFonts w:ascii="Times New Roman"/>
              </w:rPr>
              <w:t>0.011017</w:t>
            </w:r>
          </w:p>
        </w:tc>
        <w:tc>
          <w:tcPr>
            <w:tcW w:w="2921" w:type="dxa"/>
            <w:shd w:val="clear" w:color="auto" w:fill="auto"/>
            <w:vAlign w:val="center"/>
          </w:tcPr>
          <w:p w14:paraId="257209D9">
            <w:pPr>
              <w:pStyle w:val="181"/>
              <w:rPr>
                <w:rFonts w:ascii="Times New Roman"/>
              </w:rPr>
            </w:pPr>
            <w:r>
              <w:rPr>
                <w:rFonts w:ascii="Times New Roman"/>
              </w:rPr>
              <w:t>0.965952</w:t>
            </w:r>
          </w:p>
        </w:tc>
        <w:tc>
          <w:tcPr>
            <w:tcW w:w="2732" w:type="dxa"/>
            <w:shd w:val="clear" w:color="auto" w:fill="auto"/>
            <w:vAlign w:val="center"/>
          </w:tcPr>
          <w:p w14:paraId="24112F50">
            <w:pPr>
              <w:pStyle w:val="181"/>
              <w:rPr>
                <w:rFonts w:ascii="Times New Roman"/>
              </w:rPr>
            </w:pPr>
            <w:r>
              <w:rPr>
                <w:rFonts w:ascii="Times New Roman"/>
              </w:rPr>
              <w:t>0.323000</w:t>
            </w:r>
          </w:p>
        </w:tc>
      </w:tr>
      <w:tr w14:paraId="5C70FAD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99" w:type="dxa"/>
            <w:shd w:val="clear" w:color="auto" w:fill="auto"/>
            <w:vAlign w:val="center"/>
          </w:tcPr>
          <w:p w14:paraId="23A36BF7">
            <w:pPr>
              <w:pStyle w:val="181"/>
              <w:rPr>
                <w:rFonts w:ascii="Times New Roman"/>
              </w:rPr>
            </w:pPr>
            <w:r>
              <w:rPr>
                <w:rFonts w:ascii="Times New Roman"/>
              </w:rPr>
              <w:t>505</w:t>
            </w:r>
          </w:p>
        </w:tc>
        <w:tc>
          <w:tcPr>
            <w:tcW w:w="2682" w:type="dxa"/>
            <w:shd w:val="clear" w:color="auto" w:fill="auto"/>
            <w:vAlign w:val="center"/>
          </w:tcPr>
          <w:p w14:paraId="61DBAFBA">
            <w:pPr>
              <w:pStyle w:val="181"/>
              <w:rPr>
                <w:rFonts w:ascii="Times New Roman"/>
              </w:rPr>
            </w:pPr>
            <w:r>
              <w:rPr>
                <w:rFonts w:ascii="Times New Roman"/>
              </w:rPr>
              <w:t>0.010519</w:t>
            </w:r>
          </w:p>
        </w:tc>
        <w:tc>
          <w:tcPr>
            <w:tcW w:w="2921" w:type="dxa"/>
            <w:shd w:val="clear" w:color="auto" w:fill="auto"/>
            <w:vAlign w:val="center"/>
          </w:tcPr>
          <w:p w14:paraId="46FE4F2B">
            <w:pPr>
              <w:pStyle w:val="181"/>
              <w:rPr>
                <w:rFonts w:ascii="Times New Roman"/>
              </w:rPr>
            </w:pPr>
            <w:r>
              <w:rPr>
                <w:rFonts w:ascii="Times New Roman"/>
              </w:rPr>
              <w:t>0.922299</w:t>
            </w:r>
          </w:p>
        </w:tc>
        <w:tc>
          <w:tcPr>
            <w:tcW w:w="2732" w:type="dxa"/>
            <w:shd w:val="clear" w:color="auto" w:fill="auto"/>
            <w:vAlign w:val="center"/>
          </w:tcPr>
          <w:p w14:paraId="6E2DF4B0">
            <w:pPr>
              <w:pStyle w:val="181"/>
              <w:rPr>
                <w:rFonts w:ascii="Times New Roman"/>
              </w:rPr>
            </w:pPr>
            <w:r>
              <w:rPr>
                <w:rFonts w:ascii="Times New Roman"/>
              </w:rPr>
              <w:t>0.407300</w:t>
            </w:r>
          </w:p>
        </w:tc>
      </w:tr>
      <w:tr w14:paraId="499C619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99" w:type="dxa"/>
            <w:shd w:val="clear" w:color="auto" w:fill="auto"/>
            <w:vAlign w:val="center"/>
          </w:tcPr>
          <w:p w14:paraId="7693F235">
            <w:pPr>
              <w:pStyle w:val="181"/>
              <w:rPr>
                <w:rFonts w:ascii="Times New Roman"/>
              </w:rPr>
            </w:pPr>
            <w:r>
              <w:rPr>
                <w:rFonts w:ascii="Times New Roman"/>
              </w:rPr>
              <w:t>510</w:t>
            </w:r>
          </w:p>
        </w:tc>
        <w:tc>
          <w:tcPr>
            <w:tcW w:w="2682" w:type="dxa"/>
            <w:shd w:val="clear" w:color="auto" w:fill="auto"/>
            <w:vAlign w:val="center"/>
          </w:tcPr>
          <w:p w14:paraId="1699A6F1">
            <w:pPr>
              <w:pStyle w:val="181"/>
              <w:rPr>
                <w:rFonts w:ascii="Times New Roman"/>
              </w:rPr>
            </w:pPr>
            <w:r>
              <w:rPr>
                <w:rFonts w:ascii="Times New Roman"/>
              </w:rPr>
              <w:t>0.009842</w:t>
            </w:r>
          </w:p>
        </w:tc>
        <w:tc>
          <w:tcPr>
            <w:tcW w:w="2921" w:type="dxa"/>
            <w:shd w:val="clear" w:color="auto" w:fill="auto"/>
            <w:vAlign w:val="center"/>
          </w:tcPr>
          <w:p w14:paraId="52DE1A6D">
            <w:pPr>
              <w:pStyle w:val="181"/>
              <w:rPr>
                <w:rFonts w:ascii="Times New Roman"/>
              </w:rPr>
            </w:pPr>
            <w:r>
              <w:rPr>
                <w:rFonts w:ascii="Times New Roman"/>
              </w:rPr>
              <w:t>0.862888</w:t>
            </w:r>
          </w:p>
        </w:tc>
        <w:tc>
          <w:tcPr>
            <w:tcW w:w="2732" w:type="dxa"/>
            <w:shd w:val="clear" w:color="auto" w:fill="auto"/>
            <w:vAlign w:val="center"/>
          </w:tcPr>
          <w:p w14:paraId="4174CC0F">
            <w:pPr>
              <w:pStyle w:val="181"/>
              <w:rPr>
                <w:rFonts w:ascii="Times New Roman"/>
              </w:rPr>
            </w:pPr>
            <w:r>
              <w:rPr>
                <w:rFonts w:ascii="Times New Roman"/>
              </w:rPr>
              <w:t>0.503000</w:t>
            </w:r>
          </w:p>
        </w:tc>
      </w:tr>
      <w:tr w14:paraId="2226E02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99" w:type="dxa"/>
            <w:shd w:val="clear" w:color="auto" w:fill="auto"/>
            <w:vAlign w:val="center"/>
          </w:tcPr>
          <w:p w14:paraId="6DDB424C">
            <w:pPr>
              <w:pStyle w:val="181"/>
              <w:rPr>
                <w:rFonts w:ascii="Times New Roman"/>
              </w:rPr>
            </w:pPr>
            <w:r>
              <w:rPr>
                <w:rFonts w:ascii="Times New Roman"/>
              </w:rPr>
              <w:t>515</w:t>
            </w:r>
          </w:p>
        </w:tc>
        <w:tc>
          <w:tcPr>
            <w:tcW w:w="2682" w:type="dxa"/>
            <w:shd w:val="clear" w:color="auto" w:fill="auto"/>
            <w:vAlign w:val="center"/>
          </w:tcPr>
          <w:p w14:paraId="4E6C462B">
            <w:pPr>
              <w:pStyle w:val="181"/>
              <w:rPr>
                <w:rFonts w:ascii="Times New Roman"/>
              </w:rPr>
            </w:pPr>
            <w:r>
              <w:rPr>
                <w:rFonts w:ascii="Times New Roman"/>
              </w:rPr>
              <w:t>0.008956</w:t>
            </w:r>
          </w:p>
        </w:tc>
        <w:tc>
          <w:tcPr>
            <w:tcW w:w="2921" w:type="dxa"/>
            <w:shd w:val="clear" w:color="auto" w:fill="auto"/>
            <w:vAlign w:val="center"/>
          </w:tcPr>
          <w:p w14:paraId="4F0E25DB">
            <w:pPr>
              <w:pStyle w:val="181"/>
              <w:rPr>
                <w:rFonts w:ascii="Times New Roman"/>
              </w:rPr>
            </w:pPr>
            <w:r>
              <w:rPr>
                <w:rFonts w:ascii="Times New Roman"/>
              </w:rPr>
              <w:t>0.785233</w:t>
            </w:r>
          </w:p>
        </w:tc>
        <w:tc>
          <w:tcPr>
            <w:tcW w:w="2732" w:type="dxa"/>
            <w:shd w:val="clear" w:color="auto" w:fill="auto"/>
            <w:vAlign w:val="center"/>
          </w:tcPr>
          <w:p w14:paraId="2BC99E77">
            <w:pPr>
              <w:pStyle w:val="181"/>
              <w:rPr>
                <w:rFonts w:ascii="Times New Roman"/>
              </w:rPr>
            </w:pPr>
            <w:r>
              <w:rPr>
                <w:rFonts w:ascii="Times New Roman"/>
              </w:rPr>
              <w:t>0.608200</w:t>
            </w:r>
          </w:p>
        </w:tc>
      </w:tr>
      <w:tr w14:paraId="32640E2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99" w:type="dxa"/>
            <w:shd w:val="clear" w:color="auto" w:fill="auto"/>
            <w:vAlign w:val="center"/>
          </w:tcPr>
          <w:p w14:paraId="1C2E60CF">
            <w:pPr>
              <w:pStyle w:val="181"/>
              <w:rPr>
                <w:rFonts w:ascii="Times New Roman"/>
              </w:rPr>
            </w:pPr>
            <w:r>
              <w:rPr>
                <w:rFonts w:ascii="Times New Roman"/>
              </w:rPr>
              <w:t>520</w:t>
            </w:r>
          </w:p>
        </w:tc>
        <w:tc>
          <w:tcPr>
            <w:tcW w:w="2682" w:type="dxa"/>
            <w:shd w:val="clear" w:color="auto" w:fill="auto"/>
            <w:vAlign w:val="center"/>
          </w:tcPr>
          <w:p w14:paraId="5814C9B3">
            <w:pPr>
              <w:pStyle w:val="181"/>
              <w:rPr>
                <w:rFonts w:ascii="Times New Roman"/>
              </w:rPr>
            </w:pPr>
            <w:r>
              <w:rPr>
                <w:rFonts w:ascii="Times New Roman"/>
              </w:rPr>
              <w:t>0.007980</w:t>
            </w:r>
          </w:p>
        </w:tc>
        <w:tc>
          <w:tcPr>
            <w:tcW w:w="2921" w:type="dxa"/>
            <w:shd w:val="clear" w:color="auto" w:fill="auto"/>
            <w:vAlign w:val="center"/>
          </w:tcPr>
          <w:p w14:paraId="7D6A9260">
            <w:pPr>
              <w:pStyle w:val="181"/>
              <w:rPr>
                <w:rFonts w:ascii="Times New Roman"/>
              </w:rPr>
            </w:pPr>
            <w:r>
              <w:rPr>
                <w:rFonts w:ascii="Times New Roman"/>
              </w:rPr>
              <w:t>0.699628</w:t>
            </w:r>
          </w:p>
        </w:tc>
        <w:tc>
          <w:tcPr>
            <w:tcW w:w="2732" w:type="dxa"/>
            <w:shd w:val="clear" w:color="auto" w:fill="auto"/>
            <w:vAlign w:val="center"/>
          </w:tcPr>
          <w:p w14:paraId="773A0EC1">
            <w:pPr>
              <w:pStyle w:val="181"/>
              <w:rPr>
                <w:rFonts w:ascii="Times New Roman"/>
              </w:rPr>
            </w:pPr>
            <w:r>
              <w:rPr>
                <w:rFonts w:ascii="Times New Roman"/>
              </w:rPr>
              <w:t>0.710000</w:t>
            </w:r>
          </w:p>
        </w:tc>
      </w:tr>
      <w:tr w14:paraId="05EF1A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99" w:type="dxa"/>
            <w:shd w:val="clear" w:color="auto" w:fill="auto"/>
            <w:vAlign w:val="center"/>
          </w:tcPr>
          <w:p w14:paraId="63E0DFBF">
            <w:pPr>
              <w:pStyle w:val="181"/>
              <w:rPr>
                <w:rFonts w:ascii="Times New Roman"/>
              </w:rPr>
            </w:pPr>
            <w:r>
              <w:rPr>
                <w:rFonts w:ascii="Times New Roman"/>
              </w:rPr>
              <w:t>525</w:t>
            </w:r>
          </w:p>
        </w:tc>
        <w:tc>
          <w:tcPr>
            <w:tcW w:w="2682" w:type="dxa"/>
            <w:shd w:val="clear" w:color="auto" w:fill="auto"/>
            <w:vAlign w:val="center"/>
          </w:tcPr>
          <w:p w14:paraId="71233EF7">
            <w:pPr>
              <w:pStyle w:val="181"/>
              <w:rPr>
                <w:rFonts w:ascii="Times New Roman"/>
              </w:rPr>
            </w:pPr>
            <w:r>
              <w:rPr>
                <w:rFonts w:ascii="Times New Roman"/>
              </w:rPr>
              <w:t>0.006951</w:t>
            </w:r>
          </w:p>
        </w:tc>
        <w:tc>
          <w:tcPr>
            <w:tcW w:w="2921" w:type="dxa"/>
            <w:shd w:val="clear" w:color="auto" w:fill="auto"/>
            <w:vAlign w:val="center"/>
          </w:tcPr>
          <w:p w14:paraId="1ACABCB6">
            <w:pPr>
              <w:pStyle w:val="181"/>
              <w:rPr>
                <w:rFonts w:ascii="Times New Roman"/>
              </w:rPr>
            </w:pPr>
            <w:r>
              <w:rPr>
                <w:rFonts w:ascii="Times New Roman"/>
              </w:rPr>
              <w:t>0.609422</w:t>
            </w:r>
          </w:p>
        </w:tc>
        <w:tc>
          <w:tcPr>
            <w:tcW w:w="2732" w:type="dxa"/>
            <w:shd w:val="clear" w:color="auto" w:fill="auto"/>
            <w:vAlign w:val="center"/>
          </w:tcPr>
          <w:p w14:paraId="0D3488C0">
            <w:pPr>
              <w:pStyle w:val="181"/>
              <w:rPr>
                <w:rFonts w:ascii="Times New Roman"/>
              </w:rPr>
            </w:pPr>
            <w:r>
              <w:rPr>
                <w:rFonts w:ascii="Times New Roman"/>
              </w:rPr>
              <w:t>0.793200</w:t>
            </w:r>
          </w:p>
        </w:tc>
      </w:tr>
      <w:tr w14:paraId="07C046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99" w:type="dxa"/>
            <w:shd w:val="clear" w:color="auto" w:fill="auto"/>
            <w:vAlign w:val="center"/>
          </w:tcPr>
          <w:p w14:paraId="2BDBC3E5">
            <w:pPr>
              <w:pStyle w:val="181"/>
              <w:rPr>
                <w:rFonts w:ascii="Times New Roman"/>
              </w:rPr>
            </w:pPr>
            <w:r>
              <w:rPr>
                <w:rFonts w:ascii="Times New Roman"/>
              </w:rPr>
              <w:t>530</w:t>
            </w:r>
          </w:p>
        </w:tc>
        <w:tc>
          <w:tcPr>
            <w:tcW w:w="2682" w:type="dxa"/>
            <w:shd w:val="clear" w:color="auto" w:fill="auto"/>
            <w:vAlign w:val="center"/>
          </w:tcPr>
          <w:p w14:paraId="4290381F">
            <w:pPr>
              <w:pStyle w:val="181"/>
              <w:rPr>
                <w:rFonts w:ascii="Times New Roman"/>
              </w:rPr>
            </w:pPr>
            <w:r>
              <w:rPr>
                <w:rFonts w:ascii="Times New Roman"/>
              </w:rPr>
              <w:t>0.005923</w:t>
            </w:r>
          </w:p>
        </w:tc>
        <w:tc>
          <w:tcPr>
            <w:tcW w:w="2921" w:type="dxa"/>
            <w:shd w:val="clear" w:color="auto" w:fill="auto"/>
            <w:vAlign w:val="center"/>
          </w:tcPr>
          <w:p w14:paraId="0DBA2B1E">
            <w:pPr>
              <w:pStyle w:val="181"/>
              <w:rPr>
                <w:rFonts w:ascii="Times New Roman"/>
              </w:rPr>
            </w:pPr>
            <w:r>
              <w:rPr>
                <w:rFonts w:ascii="Times New Roman"/>
              </w:rPr>
              <w:t>0.519309</w:t>
            </w:r>
          </w:p>
        </w:tc>
        <w:tc>
          <w:tcPr>
            <w:tcW w:w="2732" w:type="dxa"/>
            <w:shd w:val="clear" w:color="auto" w:fill="auto"/>
            <w:vAlign w:val="center"/>
          </w:tcPr>
          <w:p w14:paraId="7C1559FE">
            <w:pPr>
              <w:pStyle w:val="181"/>
              <w:rPr>
                <w:rFonts w:ascii="Times New Roman"/>
              </w:rPr>
            </w:pPr>
            <w:r>
              <w:rPr>
                <w:rFonts w:ascii="Times New Roman"/>
              </w:rPr>
              <w:t>0.862000</w:t>
            </w:r>
          </w:p>
        </w:tc>
      </w:tr>
      <w:tr w14:paraId="0C5F92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99" w:type="dxa"/>
            <w:shd w:val="clear" w:color="auto" w:fill="auto"/>
            <w:vAlign w:val="center"/>
          </w:tcPr>
          <w:p w14:paraId="24AAADDD">
            <w:pPr>
              <w:pStyle w:val="181"/>
              <w:rPr>
                <w:rFonts w:ascii="Times New Roman"/>
              </w:rPr>
            </w:pPr>
            <w:r>
              <w:rPr>
                <w:rFonts w:ascii="Times New Roman"/>
              </w:rPr>
              <w:t>535</w:t>
            </w:r>
          </w:p>
        </w:tc>
        <w:tc>
          <w:tcPr>
            <w:tcW w:w="2682" w:type="dxa"/>
            <w:shd w:val="clear" w:color="auto" w:fill="auto"/>
            <w:vAlign w:val="center"/>
          </w:tcPr>
          <w:p w14:paraId="67A8F0D0">
            <w:pPr>
              <w:pStyle w:val="181"/>
              <w:rPr>
                <w:rFonts w:ascii="Times New Roman"/>
              </w:rPr>
            </w:pPr>
            <w:r>
              <w:rPr>
                <w:rFonts w:ascii="Times New Roman"/>
              </w:rPr>
              <w:t>0.004933</w:t>
            </w:r>
          </w:p>
        </w:tc>
        <w:tc>
          <w:tcPr>
            <w:tcW w:w="2921" w:type="dxa"/>
            <w:shd w:val="clear" w:color="auto" w:fill="auto"/>
            <w:vAlign w:val="center"/>
          </w:tcPr>
          <w:p w14:paraId="1ADBA524">
            <w:pPr>
              <w:pStyle w:val="181"/>
              <w:rPr>
                <w:rFonts w:ascii="Times New Roman"/>
              </w:rPr>
            </w:pPr>
            <w:r>
              <w:rPr>
                <w:rFonts w:ascii="Times New Roman"/>
              </w:rPr>
              <w:t>0.432533</w:t>
            </w:r>
          </w:p>
        </w:tc>
        <w:tc>
          <w:tcPr>
            <w:tcW w:w="2732" w:type="dxa"/>
            <w:shd w:val="clear" w:color="auto" w:fill="auto"/>
            <w:vAlign w:val="center"/>
          </w:tcPr>
          <w:p w14:paraId="52B7716D">
            <w:pPr>
              <w:pStyle w:val="181"/>
              <w:rPr>
                <w:rFonts w:ascii="Times New Roman"/>
              </w:rPr>
            </w:pPr>
            <w:r>
              <w:rPr>
                <w:rFonts w:ascii="Times New Roman"/>
              </w:rPr>
              <w:t>0.914850</w:t>
            </w:r>
          </w:p>
        </w:tc>
      </w:tr>
      <w:tr w14:paraId="2A15E26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99" w:type="dxa"/>
            <w:shd w:val="clear" w:color="auto" w:fill="auto"/>
            <w:vAlign w:val="center"/>
          </w:tcPr>
          <w:p w14:paraId="351D5B0A">
            <w:pPr>
              <w:pStyle w:val="181"/>
              <w:rPr>
                <w:rFonts w:ascii="Times New Roman"/>
              </w:rPr>
            </w:pPr>
            <w:r>
              <w:rPr>
                <w:rFonts w:ascii="Times New Roman"/>
              </w:rPr>
              <w:t>540</w:t>
            </w:r>
          </w:p>
        </w:tc>
        <w:tc>
          <w:tcPr>
            <w:tcW w:w="2682" w:type="dxa"/>
            <w:shd w:val="clear" w:color="auto" w:fill="auto"/>
            <w:vAlign w:val="center"/>
          </w:tcPr>
          <w:p w14:paraId="3DBF2C1F">
            <w:pPr>
              <w:pStyle w:val="181"/>
              <w:rPr>
                <w:rFonts w:ascii="Times New Roman"/>
              </w:rPr>
            </w:pPr>
            <w:r>
              <w:rPr>
                <w:rFonts w:ascii="Times New Roman"/>
              </w:rPr>
              <w:t>0.004011</w:t>
            </w:r>
          </w:p>
        </w:tc>
        <w:tc>
          <w:tcPr>
            <w:tcW w:w="2921" w:type="dxa"/>
            <w:shd w:val="clear" w:color="auto" w:fill="auto"/>
            <w:vAlign w:val="center"/>
          </w:tcPr>
          <w:p w14:paraId="00C31143">
            <w:pPr>
              <w:pStyle w:val="181"/>
              <w:rPr>
                <w:rFonts w:ascii="Times New Roman"/>
              </w:rPr>
            </w:pPr>
            <w:r>
              <w:rPr>
                <w:rFonts w:ascii="Times New Roman"/>
              </w:rPr>
              <w:t>0.351707</w:t>
            </w:r>
          </w:p>
        </w:tc>
        <w:tc>
          <w:tcPr>
            <w:tcW w:w="2732" w:type="dxa"/>
            <w:shd w:val="clear" w:color="auto" w:fill="auto"/>
            <w:vAlign w:val="center"/>
          </w:tcPr>
          <w:p w14:paraId="3C68DFC0">
            <w:pPr>
              <w:pStyle w:val="181"/>
              <w:rPr>
                <w:rFonts w:ascii="Times New Roman"/>
              </w:rPr>
            </w:pPr>
            <w:r>
              <w:rPr>
                <w:rFonts w:ascii="Times New Roman"/>
              </w:rPr>
              <w:t>0.954000</w:t>
            </w:r>
          </w:p>
        </w:tc>
      </w:tr>
      <w:tr w14:paraId="6F00BDA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99" w:type="dxa"/>
            <w:shd w:val="clear" w:color="auto" w:fill="auto"/>
            <w:vAlign w:val="center"/>
          </w:tcPr>
          <w:p w14:paraId="6D639EED">
            <w:pPr>
              <w:pStyle w:val="181"/>
              <w:rPr>
                <w:rFonts w:ascii="Times New Roman"/>
              </w:rPr>
            </w:pPr>
            <w:r>
              <w:rPr>
                <w:rFonts w:ascii="Times New Roman"/>
              </w:rPr>
              <w:t>545</w:t>
            </w:r>
          </w:p>
        </w:tc>
        <w:tc>
          <w:tcPr>
            <w:tcW w:w="2682" w:type="dxa"/>
            <w:shd w:val="clear" w:color="auto" w:fill="auto"/>
            <w:vAlign w:val="center"/>
          </w:tcPr>
          <w:p w14:paraId="3F05C611">
            <w:pPr>
              <w:pStyle w:val="181"/>
              <w:rPr>
                <w:rFonts w:ascii="Times New Roman"/>
              </w:rPr>
            </w:pPr>
            <w:r>
              <w:rPr>
                <w:rFonts w:ascii="Times New Roman"/>
              </w:rPr>
              <w:t>0.003184</w:t>
            </w:r>
          </w:p>
        </w:tc>
        <w:tc>
          <w:tcPr>
            <w:tcW w:w="2921" w:type="dxa"/>
            <w:shd w:val="clear" w:color="auto" w:fill="auto"/>
            <w:vAlign w:val="center"/>
          </w:tcPr>
          <w:p w14:paraId="4AC84EC3">
            <w:pPr>
              <w:pStyle w:val="181"/>
              <w:rPr>
                <w:rFonts w:ascii="Times New Roman"/>
              </w:rPr>
            </w:pPr>
            <w:r>
              <w:rPr>
                <w:rFonts w:ascii="Times New Roman"/>
              </w:rPr>
              <w:t>0.279135</w:t>
            </w:r>
          </w:p>
        </w:tc>
        <w:tc>
          <w:tcPr>
            <w:tcW w:w="2732" w:type="dxa"/>
            <w:shd w:val="clear" w:color="auto" w:fill="auto"/>
            <w:vAlign w:val="center"/>
          </w:tcPr>
          <w:p w14:paraId="377B5D43">
            <w:pPr>
              <w:pStyle w:val="181"/>
              <w:rPr>
                <w:rFonts w:ascii="Times New Roman"/>
              </w:rPr>
            </w:pPr>
            <w:r>
              <w:rPr>
                <w:rFonts w:ascii="Times New Roman"/>
              </w:rPr>
              <w:t>0.980300</w:t>
            </w:r>
          </w:p>
        </w:tc>
      </w:tr>
      <w:tr w14:paraId="71E7661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99" w:type="dxa"/>
            <w:shd w:val="clear" w:color="auto" w:fill="auto"/>
            <w:vAlign w:val="center"/>
          </w:tcPr>
          <w:p w14:paraId="0715498A">
            <w:pPr>
              <w:pStyle w:val="181"/>
              <w:rPr>
                <w:rFonts w:ascii="Times New Roman"/>
              </w:rPr>
            </w:pPr>
            <w:r>
              <w:rPr>
                <w:rFonts w:ascii="Times New Roman"/>
              </w:rPr>
              <w:t>550</w:t>
            </w:r>
          </w:p>
        </w:tc>
        <w:tc>
          <w:tcPr>
            <w:tcW w:w="2682" w:type="dxa"/>
            <w:shd w:val="clear" w:color="auto" w:fill="auto"/>
            <w:vAlign w:val="center"/>
          </w:tcPr>
          <w:p w14:paraId="498DE4CD">
            <w:pPr>
              <w:pStyle w:val="181"/>
              <w:rPr>
                <w:rFonts w:ascii="Times New Roman"/>
              </w:rPr>
            </w:pPr>
            <w:r>
              <w:rPr>
                <w:rFonts w:ascii="Times New Roman"/>
              </w:rPr>
              <w:t>0.002460</w:t>
            </w:r>
          </w:p>
        </w:tc>
        <w:tc>
          <w:tcPr>
            <w:tcW w:w="2921" w:type="dxa"/>
            <w:shd w:val="clear" w:color="auto" w:fill="auto"/>
            <w:vAlign w:val="center"/>
          </w:tcPr>
          <w:p w14:paraId="67DB814B">
            <w:pPr>
              <w:pStyle w:val="181"/>
              <w:rPr>
                <w:rFonts w:ascii="Times New Roman"/>
              </w:rPr>
            </w:pPr>
            <w:r>
              <w:rPr>
                <w:rFonts w:ascii="Times New Roman"/>
              </w:rPr>
              <w:t>0.215722</w:t>
            </w:r>
          </w:p>
        </w:tc>
        <w:tc>
          <w:tcPr>
            <w:tcW w:w="2732" w:type="dxa"/>
            <w:shd w:val="clear" w:color="auto" w:fill="auto"/>
            <w:vAlign w:val="center"/>
          </w:tcPr>
          <w:p w14:paraId="73D51BD9">
            <w:pPr>
              <w:pStyle w:val="181"/>
              <w:rPr>
                <w:rFonts w:ascii="Times New Roman"/>
              </w:rPr>
            </w:pPr>
            <w:r>
              <w:rPr>
                <w:rFonts w:ascii="Times New Roman"/>
              </w:rPr>
              <w:t>0.994950</w:t>
            </w:r>
          </w:p>
        </w:tc>
      </w:tr>
      <w:tr w14:paraId="13CBF1A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99" w:type="dxa"/>
            <w:shd w:val="clear" w:color="auto" w:fill="auto"/>
            <w:vAlign w:val="center"/>
          </w:tcPr>
          <w:p w14:paraId="4F81964F">
            <w:pPr>
              <w:pStyle w:val="181"/>
              <w:rPr>
                <w:rFonts w:ascii="Times New Roman"/>
              </w:rPr>
            </w:pPr>
            <w:r>
              <w:rPr>
                <w:rFonts w:ascii="Times New Roman"/>
              </w:rPr>
              <w:t>555</w:t>
            </w:r>
          </w:p>
        </w:tc>
        <w:tc>
          <w:tcPr>
            <w:tcW w:w="2682" w:type="dxa"/>
            <w:shd w:val="clear" w:color="auto" w:fill="auto"/>
            <w:vAlign w:val="center"/>
          </w:tcPr>
          <w:p w14:paraId="5B486ACE">
            <w:pPr>
              <w:pStyle w:val="181"/>
              <w:rPr>
                <w:rFonts w:ascii="Times New Roman"/>
              </w:rPr>
            </w:pPr>
            <w:r>
              <w:rPr>
                <w:rFonts w:ascii="Times New Roman"/>
              </w:rPr>
              <w:t>0.001848</w:t>
            </w:r>
          </w:p>
        </w:tc>
        <w:tc>
          <w:tcPr>
            <w:tcW w:w="2921" w:type="dxa"/>
            <w:shd w:val="clear" w:color="auto" w:fill="auto"/>
            <w:vAlign w:val="center"/>
          </w:tcPr>
          <w:p w14:paraId="7FB449FA">
            <w:pPr>
              <w:pStyle w:val="181"/>
              <w:rPr>
                <w:rFonts w:ascii="Times New Roman"/>
              </w:rPr>
            </w:pPr>
            <w:r>
              <w:rPr>
                <w:rFonts w:ascii="Times New Roman"/>
              </w:rPr>
              <w:t>0.162056</w:t>
            </w:r>
          </w:p>
        </w:tc>
        <w:tc>
          <w:tcPr>
            <w:tcW w:w="2732" w:type="dxa"/>
            <w:shd w:val="clear" w:color="auto" w:fill="auto"/>
            <w:vAlign w:val="center"/>
          </w:tcPr>
          <w:p w14:paraId="61D71B2D">
            <w:pPr>
              <w:pStyle w:val="181"/>
              <w:rPr>
                <w:rFonts w:ascii="Times New Roman"/>
              </w:rPr>
            </w:pPr>
            <w:r>
              <w:rPr>
                <w:rFonts w:ascii="Times New Roman"/>
              </w:rPr>
              <w:t>1.000000</w:t>
            </w:r>
          </w:p>
        </w:tc>
      </w:tr>
      <w:tr w14:paraId="2C3CCAA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99" w:type="dxa"/>
            <w:shd w:val="clear" w:color="auto" w:fill="auto"/>
            <w:vAlign w:val="center"/>
          </w:tcPr>
          <w:p w14:paraId="4679AAB3">
            <w:pPr>
              <w:pStyle w:val="181"/>
              <w:rPr>
                <w:rFonts w:ascii="Times New Roman"/>
              </w:rPr>
            </w:pPr>
            <w:r>
              <w:rPr>
                <w:rFonts w:ascii="Times New Roman"/>
              </w:rPr>
              <w:t>560</w:t>
            </w:r>
          </w:p>
        </w:tc>
        <w:tc>
          <w:tcPr>
            <w:tcW w:w="2682" w:type="dxa"/>
            <w:shd w:val="clear" w:color="auto" w:fill="auto"/>
            <w:vAlign w:val="center"/>
          </w:tcPr>
          <w:p w14:paraId="2E8DFED9">
            <w:pPr>
              <w:pStyle w:val="181"/>
              <w:rPr>
                <w:rFonts w:ascii="Times New Roman"/>
              </w:rPr>
            </w:pPr>
            <w:r>
              <w:rPr>
                <w:rFonts w:ascii="Times New Roman"/>
              </w:rPr>
              <w:t>0.001352</w:t>
            </w:r>
          </w:p>
        </w:tc>
        <w:tc>
          <w:tcPr>
            <w:tcW w:w="2921" w:type="dxa"/>
            <w:shd w:val="clear" w:color="auto" w:fill="auto"/>
            <w:vAlign w:val="center"/>
          </w:tcPr>
          <w:p w14:paraId="0B29C9AC">
            <w:pPr>
              <w:pStyle w:val="181"/>
              <w:rPr>
                <w:rFonts w:ascii="Times New Roman"/>
              </w:rPr>
            </w:pPr>
            <w:r>
              <w:rPr>
                <w:rFonts w:ascii="Times New Roman"/>
              </w:rPr>
              <w:t>0.118526</w:t>
            </w:r>
          </w:p>
        </w:tc>
        <w:tc>
          <w:tcPr>
            <w:tcW w:w="2732" w:type="dxa"/>
            <w:shd w:val="clear" w:color="auto" w:fill="auto"/>
            <w:vAlign w:val="center"/>
          </w:tcPr>
          <w:p w14:paraId="45F5C937">
            <w:pPr>
              <w:pStyle w:val="181"/>
              <w:rPr>
                <w:rFonts w:ascii="Times New Roman"/>
              </w:rPr>
            </w:pPr>
            <w:r>
              <w:rPr>
                <w:rFonts w:ascii="Times New Roman"/>
              </w:rPr>
              <w:t>0.995000</w:t>
            </w:r>
          </w:p>
        </w:tc>
      </w:tr>
      <w:tr w14:paraId="28775F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999" w:type="dxa"/>
            <w:shd w:val="clear" w:color="auto" w:fill="auto"/>
            <w:vAlign w:val="center"/>
          </w:tcPr>
          <w:p w14:paraId="70716E14">
            <w:pPr>
              <w:pStyle w:val="181"/>
              <w:rPr>
                <w:rFonts w:ascii="Times New Roman"/>
              </w:rPr>
            </w:pPr>
            <w:r>
              <w:rPr>
                <w:rFonts w:ascii="Times New Roman"/>
              </w:rPr>
              <w:t>565</w:t>
            </w:r>
          </w:p>
        </w:tc>
        <w:tc>
          <w:tcPr>
            <w:tcW w:w="2682" w:type="dxa"/>
            <w:shd w:val="clear" w:color="auto" w:fill="auto"/>
            <w:vAlign w:val="center"/>
          </w:tcPr>
          <w:p w14:paraId="6E0F1789">
            <w:pPr>
              <w:pStyle w:val="181"/>
              <w:rPr>
                <w:rFonts w:ascii="Times New Roman"/>
              </w:rPr>
            </w:pPr>
            <w:r>
              <w:rPr>
                <w:rFonts w:ascii="Times New Roman"/>
              </w:rPr>
              <w:t>0.000962</w:t>
            </w:r>
          </w:p>
        </w:tc>
        <w:tc>
          <w:tcPr>
            <w:tcW w:w="2921" w:type="dxa"/>
            <w:shd w:val="clear" w:color="auto" w:fill="auto"/>
            <w:vAlign w:val="center"/>
          </w:tcPr>
          <w:p w14:paraId="2751CF53">
            <w:pPr>
              <w:pStyle w:val="181"/>
              <w:rPr>
                <w:rFonts w:ascii="Times New Roman"/>
              </w:rPr>
            </w:pPr>
            <w:r>
              <w:rPr>
                <w:rFonts w:ascii="Times New Roman"/>
              </w:rPr>
              <w:t>0.084346</w:t>
            </w:r>
          </w:p>
        </w:tc>
        <w:tc>
          <w:tcPr>
            <w:tcW w:w="2732" w:type="dxa"/>
            <w:shd w:val="clear" w:color="auto" w:fill="auto"/>
            <w:vAlign w:val="center"/>
          </w:tcPr>
          <w:p w14:paraId="0AA28D56">
            <w:pPr>
              <w:pStyle w:val="181"/>
              <w:rPr>
                <w:rFonts w:ascii="Times New Roman"/>
              </w:rPr>
            </w:pPr>
            <w:r>
              <w:rPr>
                <w:rFonts w:ascii="Times New Roman"/>
              </w:rPr>
              <w:t>0.978600</w:t>
            </w:r>
          </w:p>
        </w:tc>
      </w:tr>
      <w:tr w14:paraId="1CCECC9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99" w:type="dxa"/>
            <w:shd w:val="clear" w:color="auto" w:fill="auto"/>
            <w:vAlign w:val="center"/>
          </w:tcPr>
          <w:p w14:paraId="6E582963">
            <w:pPr>
              <w:pStyle w:val="181"/>
              <w:rPr>
                <w:rFonts w:ascii="Times New Roman"/>
              </w:rPr>
            </w:pPr>
            <w:r>
              <w:rPr>
                <w:rFonts w:ascii="Times New Roman"/>
              </w:rPr>
              <w:t>570</w:t>
            </w:r>
          </w:p>
        </w:tc>
        <w:tc>
          <w:tcPr>
            <w:tcW w:w="2682" w:type="dxa"/>
            <w:shd w:val="clear" w:color="auto" w:fill="auto"/>
            <w:vAlign w:val="center"/>
          </w:tcPr>
          <w:p w14:paraId="36637EEE">
            <w:pPr>
              <w:pStyle w:val="181"/>
              <w:rPr>
                <w:rFonts w:ascii="Times New Roman"/>
              </w:rPr>
            </w:pPr>
            <w:r>
              <w:rPr>
                <w:rFonts w:ascii="Times New Roman"/>
              </w:rPr>
              <w:t>0.000670</w:t>
            </w:r>
          </w:p>
        </w:tc>
        <w:tc>
          <w:tcPr>
            <w:tcW w:w="2921" w:type="dxa"/>
            <w:shd w:val="clear" w:color="auto" w:fill="auto"/>
            <w:vAlign w:val="center"/>
          </w:tcPr>
          <w:p w14:paraId="0C57FB6F">
            <w:pPr>
              <w:pStyle w:val="181"/>
              <w:rPr>
                <w:rFonts w:ascii="Times New Roman"/>
              </w:rPr>
            </w:pPr>
            <w:r>
              <w:rPr>
                <w:rFonts w:ascii="Times New Roman"/>
              </w:rPr>
              <w:t>0.058701</w:t>
            </w:r>
          </w:p>
        </w:tc>
        <w:tc>
          <w:tcPr>
            <w:tcW w:w="2732" w:type="dxa"/>
            <w:shd w:val="clear" w:color="auto" w:fill="auto"/>
            <w:vAlign w:val="center"/>
          </w:tcPr>
          <w:p w14:paraId="25A4F486">
            <w:pPr>
              <w:pStyle w:val="181"/>
              <w:rPr>
                <w:rFonts w:ascii="Times New Roman"/>
              </w:rPr>
            </w:pPr>
            <w:r>
              <w:rPr>
                <w:rFonts w:ascii="Times New Roman"/>
              </w:rPr>
              <w:t>0.952000</w:t>
            </w:r>
          </w:p>
        </w:tc>
      </w:tr>
      <w:tr w14:paraId="07A10EC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99" w:type="dxa"/>
            <w:shd w:val="clear" w:color="auto" w:fill="auto"/>
            <w:vAlign w:val="center"/>
          </w:tcPr>
          <w:p w14:paraId="24FAC0BB">
            <w:pPr>
              <w:pStyle w:val="181"/>
              <w:rPr>
                <w:rFonts w:ascii="Times New Roman"/>
              </w:rPr>
            </w:pPr>
            <w:r>
              <w:rPr>
                <w:rFonts w:ascii="Times New Roman"/>
              </w:rPr>
              <w:t>575</w:t>
            </w:r>
          </w:p>
        </w:tc>
        <w:tc>
          <w:tcPr>
            <w:tcW w:w="2682" w:type="dxa"/>
            <w:shd w:val="clear" w:color="auto" w:fill="auto"/>
            <w:vAlign w:val="center"/>
          </w:tcPr>
          <w:p w14:paraId="1C57FF47">
            <w:pPr>
              <w:pStyle w:val="181"/>
              <w:rPr>
                <w:rFonts w:ascii="Times New Roman"/>
              </w:rPr>
            </w:pPr>
            <w:r>
              <w:rPr>
                <w:rFonts w:ascii="Times New Roman"/>
              </w:rPr>
              <w:t>0.000456</w:t>
            </w:r>
          </w:p>
        </w:tc>
        <w:tc>
          <w:tcPr>
            <w:tcW w:w="2921" w:type="dxa"/>
            <w:shd w:val="clear" w:color="auto" w:fill="auto"/>
            <w:vAlign w:val="center"/>
          </w:tcPr>
          <w:p w14:paraId="59461003">
            <w:pPr>
              <w:pStyle w:val="181"/>
              <w:rPr>
                <w:rFonts w:ascii="Times New Roman"/>
              </w:rPr>
            </w:pPr>
            <w:r>
              <w:rPr>
                <w:rFonts w:ascii="Times New Roman"/>
              </w:rPr>
              <w:t>0.040009</w:t>
            </w:r>
          </w:p>
        </w:tc>
        <w:tc>
          <w:tcPr>
            <w:tcW w:w="2732" w:type="dxa"/>
            <w:shd w:val="clear" w:color="auto" w:fill="auto"/>
            <w:vAlign w:val="center"/>
          </w:tcPr>
          <w:p w14:paraId="2B4084AB">
            <w:pPr>
              <w:pStyle w:val="181"/>
              <w:rPr>
                <w:rFonts w:ascii="Times New Roman"/>
              </w:rPr>
            </w:pPr>
            <w:r>
              <w:rPr>
                <w:rFonts w:ascii="Times New Roman"/>
              </w:rPr>
              <w:t>0.915400</w:t>
            </w:r>
          </w:p>
        </w:tc>
      </w:tr>
      <w:tr w14:paraId="286C20C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99" w:type="dxa"/>
            <w:shd w:val="clear" w:color="auto" w:fill="auto"/>
            <w:vAlign w:val="center"/>
          </w:tcPr>
          <w:p w14:paraId="3D70C454">
            <w:pPr>
              <w:pStyle w:val="181"/>
              <w:rPr>
                <w:rFonts w:ascii="Times New Roman"/>
              </w:rPr>
            </w:pPr>
            <w:r>
              <w:rPr>
                <w:rFonts w:ascii="Times New Roman"/>
              </w:rPr>
              <w:t>580</w:t>
            </w:r>
          </w:p>
        </w:tc>
        <w:tc>
          <w:tcPr>
            <w:tcW w:w="2682" w:type="dxa"/>
            <w:shd w:val="clear" w:color="auto" w:fill="auto"/>
            <w:vAlign w:val="center"/>
          </w:tcPr>
          <w:p w14:paraId="711A006B">
            <w:pPr>
              <w:pStyle w:val="181"/>
              <w:rPr>
                <w:rFonts w:ascii="Times New Roman"/>
              </w:rPr>
            </w:pPr>
            <w:r>
              <w:rPr>
                <w:rFonts w:ascii="Times New Roman"/>
              </w:rPr>
              <w:t>0.000307</w:t>
            </w:r>
          </w:p>
        </w:tc>
        <w:tc>
          <w:tcPr>
            <w:tcW w:w="2921" w:type="dxa"/>
            <w:shd w:val="clear" w:color="auto" w:fill="auto"/>
            <w:vAlign w:val="center"/>
          </w:tcPr>
          <w:p w14:paraId="20DB4BE4">
            <w:pPr>
              <w:pStyle w:val="181"/>
              <w:rPr>
                <w:rFonts w:ascii="Times New Roman"/>
              </w:rPr>
            </w:pPr>
            <w:r>
              <w:rPr>
                <w:rFonts w:ascii="Times New Roman"/>
              </w:rPr>
              <w:t>0.026875</w:t>
            </w:r>
          </w:p>
        </w:tc>
        <w:tc>
          <w:tcPr>
            <w:tcW w:w="2732" w:type="dxa"/>
            <w:shd w:val="clear" w:color="auto" w:fill="auto"/>
            <w:vAlign w:val="center"/>
          </w:tcPr>
          <w:p w14:paraId="3261DD85">
            <w:pPr>
              <w:pStyle w:val="181"/>
              <w:rPr>
                <w:rFonts w:ascii="Times New Roman"/>
              </w:rPr>
            </w:pPr>
            <w:r>
              <w:rPr>
                <w:rFonts w:ascii="Times New Roman"/>
              </w:rPr>
              <w:t>0.870000</w:t>
            </w:r>
          </w:p>
        </w:tc>
      </w:tr>
      <w:tr w14:paraId="4A8F565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99" w:type="dxa"/>
            <w:shd w:val="clear" w:color="auto" w:fill="auto"/>
            <w:vAlign w:val="center"/>
          </w:tcPr>
          <w:p w14:paraId="02CDA920">
            <w:pPr>
              <w:pStyle w:val="181"/>
              <w:rPr>
                <w:rFonts w:ascii="Times New Roman"/>
              </w:rPr>
            </w:pPr>
            <w:r>
              <w:rPr>
                <w:rFonts w:ascii="Times New Roman"/>
              </w:rPr>
              <w:t>585</w:t>
            </w:r>
          </w:p>
        </w:tc>
        <w:tc>
          <w:tcPr>
            <w:tcW w:w="2682" w:type="dxa"/>
            <w:shd w:val="clear" w:color="auto" w:fill="auto"/>
            <w:vAlign w:val="center"/>
          </w:tcPr>
          <w:p w14:paraId="08A55710">
            <w:pPr>
              <w:pStyle w:val="181"/>
              <w:rPr>
                <w:rFonts w:ascii="Times New Roman"/>
              </w:rPr>
            </w:pPr>
            <w:r>
              <w:rPr>
                <w:rFonts w:ascii="Times New Roman"/>
              </w:rPr>
              <w:t>0.000204</w:t>
            </w:r>
          </w:p>
        </w:tc>
        <w:tc>
          <w:tcPr>
            <w:tcW w:w="2921" w:type="dxa"/>
            <w:shd w:val="clear" w:color="auto" w:fill="auto"/>
            <w:vAlign w:val="center"/>
          </w:tcPr>
          <w:p w14:paraId="7BF0EA4E">
            <w:pPr>
              <w:pStyle w:val="181"/>
              <w:rPr>
                <w:rFonts w:ascii="Times New Roman"/>
              </w:rPr>
            </w:pPr>
            <w:r>
              <w:rPr>
                <w:rFonts w:ascii="Times New Roman"/>
              </w:rPr>
              <w:t>0.017862</w:t>
            </w:r>
          </w:p>
        </w:tc>
        <w:tc>
          <w:tcPr>
            <w:tcW w:w="2732" w:type="dxa"/>
            <w:shd w:val="clear" w:color="auto" w:fill="auto"/>
            <w:vAlign w:val="center"/>
          </w:tcPr>
          <w:p w14:paraId="180840E6">
            <w:pPr>
              <w:pStyle w:val="181"/>
              <w:rPr>
                <w:rFonts w:ascii="Times New Roman"/>
              </w:rPr>
            </w:pPr>
            <w:r>
              <w:rPr>
                <w:rFonts w:ascii="Times New Roman"/>
              </w:rPr>
              <w:t>0.816300</w:t>
            </w:r>
          </w:p>
        </w:tc>
      </w:tr>
      <w:tr w14:paraId="2B575D4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99" w:type="dxa"/>
            <w:shd w:val="clear" w:color="auto" w:fill="auto"/>
            <w:vAlign w:val="center"/>
          </w:tcPr>
          <w:p w14:paraId="00363A26">
            <w:pPr>
              <w:pStyle w:val="181"/>
              <w:rPr>
                <w:rFonts w:ascii="Times New Roman"/>
              </w:rPr>
            </w:pPr>
            <w:r>
              <w:rPr>
                <w:rFonts w:ascii="Times New Roman"/>
              </w:rPr>
              <w:t>590</w:t>
            </w:r>
          </w:p>
        </w:tc>
        <w:tc>
          <w:tcPr>
            <w:tcW w:w="2682" w:type="dxa"/>
            <w:shd w:val="clear" w:color="auto" w:fill="auto"/>
            <w:vAlign w:val="center"/>
          </w:tcPr>
          <w:p w14:paraId="418D215C">
            <w:pPr>
              <w:pStyle w:val="181"/>
              <w:rPr>
                <w:rFonts w:ascii="Times New Roman"/>
              </w:rPr>
            </w:pPr>
            <w:r>
              <w:rPr>
                <w:rFonts w:ascii="Times New Roman"/>
              </w:rPr>
              <w:t>0.000134</w:t>
            </w:r>
          </w:p>
        </w:tc>
        <w:tc>
          <w:tcPr>
            <w:tcW w:w="2921" w:type="dxa"/>
            <w:shd w:val="clear" w:color="auto" w:fill="auto"/>
            <w:vAlign w:val="center"/>
          </w:tcPr>
          <w:p w14:paraId="7990E8A7">
            <w:pPr>
              <w:pStyle w:val="181"/>
              <w:rPr>
                <w:rFonts w:ascii="Times New Roman"/>
              </w:rPr>
            </w:pPr>
            <w:r>
              <w:rPr>
                <w:rFonts w:ascii="Times New Roman"/>
              </w:rPr>
              <w:t>0.011790</w:t>
            </w:r>
          </w:p>
        </w:tc>
        <w:tc>
          <w:tcPr>
            <w:tcW w:w="2732" w:type="dxa"/>
            <w:shd w:val="clear" w:color="auto" w:fill="auto"/>
            <w:vAlign w:val="center"/>
          </w:tcPr>
          <w:p w14:paraId="3F2A658F">
            <w:pPr>
              <w:pStyle w:val="181"/>
              <w:rPr>
                <w:rFonts w:ascii="Times New Roman"/>
              </w:rPr>
            </w:pPr>
            <w:r>
              <w:rPr>
                <w:rFonts w:ascii="Times New Roman"/>
              </w:rPr>
              <w:t>0.757000</w:t>
            </w:r>
          </w:p>
        </w:tc>
      </w:tr>
      <w:tr w14:paraId="5B2B7A7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99" w:type="dxa"/>
            <w:shd w:val="clear" w:color="auto" w:fill="auto"/>
            <w:vAlign w:val="center"/>
          </w:tcPr>
          <w:p w14:paraId="10A1F1A2">
            <w:pPr>
              <w:pStyle w:val="181"/>
              <w:rPr>
                <w:rFonts w:ascii="Times New Roman"/>
              </w:rPr>
            </w:pPr>
            <w:r>
              <w:rPr>
                <w:rFonts w:ascii="Times New Roman"/>
              </w:rPr>
              <w:t>595</w:t>
            </w:r>
          </w:p>
        </w:tc>
        <w:tc>
          <w:tcPr>
            <w:tcW w:w="2682" w:type="dxa"/>
            <w:shd w:val="clear" w:color="auto" w:fill="auto"/>
            <w:vAlign w:val="center"/>
          </w:tcPr>
          <w:p w14:paraId="3EF593D9">
            <w:pPr>
              <w:pStyle w:val="181"/>
              <w:rPr>
                <w:rFonts w:ascii="Times New Roman"/>
              </w:rPr>
            </w:pPr>
            <w:r>
              <w:rPr>
                <w:rFonts w:ascii="Times New Roman"/>
              </w:rPr>
              <w:t>0.000088</w:t>
            </w:r>
          </w:p>
        </w:tc>
        <w:tc>
          <w:tcPr>
            <w:tcW w:w="2921" w:type="dxa"/>
            <w:shd w:val="clear" w:color="auto" w:fill="auto"/>
            <w:vAlign w:val="center"/>
          </w:tcPr>
          <w:p w14:paraId="36E59B55">
            <w:pPr>
              <w:pStyle w:val="181"/>
              <w:rPr>
                <w:rFonts w:ascii="Times New Roman"/>
              </w:rPr>
            </w:pPr>
            <w:r>
              <w:rPr>
                <w:rFonts w:ascii="Times New Roman"/>
              </w:rPr>
              <w:t>0.007734</w:t>
            </w:r>
          </w:p>
        </w:tc>
        <w:tc>
          <w:tcPr>
            <w:tcW w:w="2732" w:type="dxa"/>
            <w:shd w:val="clear" w:color="auto" w:fill="auto"/>
            <w:vAlign w:val="center"/>
          </w:tcPr>
          <w:p w14:paraId="0F5F3444">
            <w:pPr>
              <w:pStyle w:val="181"/>
              <w:rPr>
                <w:rFonts w:ascii="Times New Roman"/>
              </w:rPr>
            </w:pPr>
            <w:r>
              <w:rPr>
                <w:rFonts w:ascii="Times New Roman"/>
              </w:rPr>
              <w:t>0.694900</w:t>
            </w:r>
          </w:p>
        </w:tc>
      </w:tr>
      <w:tr w14:paraId="5AF789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99" w:type="dxa"/>
            <w:shd w:val="clear" w:color="auto" w:fill="auto"/>
            <w:vAlign w:val="center"/>
          </w:tcPr>
          <w:p w14:paraId="6B404BD5">
            <w:pPr>
              <w:pStyle w:val="181"/>
              <w:rPr>
                <w:rFonts w:ascii="Times New Roman"/>
              </w:rPr>
            </w:pPr>
            <w:r>
              <w:rPr>
                <w:rFonts w:ascii="Times New Roman"/>
              </w:rPr>
              <w:t>600</w:t>
            </w:r>
          </w:p>
        </w:tc>
        <w:tc>
          <w:tcPr>
            <w:tcW w:w="2682" w:type="dxa"/>
            <w:shd w:val="clear" w:color="auto" w:fill="auto"/>
            <w:vAlign w:val="center"/>
          </w:tcPr>
          <w:p w14:paraId="3E040A8F">
            <w:pPr>
              <w:pStyle w:val="181"/>
              <w:rPr>
                <w:rFonts w:ascii="Times New Roman"/>
              </w:rPr>
            </w:pPr>
            <w:r>
              <w:rPr>
                <w:rFonts w:ascii="Times New Roman"/>
              </w:rPr>
              <w:t>0.000058</w:t>
            </w:r>
          </w:p>
        </w:tc>
        <w:tc>
          <w:tcPr>
            <w:tcW w:w="2921" w:type="dxa"/>
            <w:shd w:val="clear" w:color="auto" w:fill="auto"/>
            <w:vAlign w:val="center"/>
          </w:tcPr>
          <w:p w14:paraId="64990445">
            <w:pPr>
              <w:pStyle w:val="181"/>
              <w:rPr>
                <w:rFonts w:ascii="Times New Roman"/>
              </w:rPr>
            </w:pPr>
            <w:r>
              <w:rPr>
                <w:rFonts w:ascii="Times New Roman"/>
              </w:rPr>
              <w:t>0.005067</w:t>
            </w:r>
          </w:p>
        </w:tc>
        <w:tc>
          <w:tcPr>
            <w:tcW w:w="2732" w:type="dxa"/>
            <w:shd w:val="clear" w:color="auto" w:fill="auto"/>
            <w:vAlign w:val="center"/>
          </w:tcPr>
          <w:p w14:paraId="1E230BE4">
            <w:pPr>
              <w:pStyle w:val="181"/>
              <w:rPr>
                <w:rFonts w:ascii="Times New Roman"/>
              </w:rPr>
            </w:pPr>
            <w:r>
              <w:rPr>
                <w:rFonts w:ascii="Times New Roman"/>
              </w:rPr>
              <w:t>0.631000</w:t>
            </w:r>
          </w:p>
        </w:tc>
      </w:tr>
      <w:tr w14:paraId="7D8BAC4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99" w:type="dxa"/>
            <w:shd w:val="clear" w:color="auto" w:fill="auto"/>
            <w:vAlign w:val="center"/>
          </w:tcPr>
          <w:p w14:paraId="216AB684">
            <w:pPr>
              <w:pStyle w:val="181"/>
              <w:rPr>
                <w:rFonts w:ascii="Times New Roman"/>
              </w:rPr>
            </w:pPr>
            <w:r>
              <w:rPr>
                <w:rFonts w:ascii="Times New Roman"/>
              </w:rPr>
              <w:t>605</w:t>
            </w:r>
          </w:p>
        </w:tc>
        <w:tc>
          <w:tcPr>
            <w:tcW w:w="2682" w:type="dxa"/>
            <w:shd w:val="clear" w:color="auto" w:fill="auto"/>
            <w:vAlign w:val="center"/>
          </w:tcPr>
          <w:p w14:paraId="0A2335E3">
            <w:pPr>
              <w:pStyle w:val="181"/>
              <w:rPr>
                <w:rFonts w:ascii="Times New Roman"/>
              </w:rPr>
            </w:pPr>
            <w:r>
              <w:rPr>
                <w:rFonts w:ascii="Times New Roman"/>
              </w:rPr>
              <w:t>0.000038</w:t>
            </w:r>
          </w:p>
        </w:tc>
        <w:tc>
          <w:tcPr>
            <w:tcW w:w="2921" w:type="dxa"/>
            <w:shd w:val="clear" w:color="auto" w:fill="auto"/>
            <w:vAlign w:val="center"/>
          </w:tcPr>
          <w:p w14:paraId="120A08D4">
            <w:pPr>
              <w:pStyle w:val="181"/>
              <w:rPr>
                <w:rFonts w:ascii="Times New Roman"/>
              </w:rPr>
            </w:pPr>
            <w:r>
              <w:rPr>
                <w:rFonts w:ascii="Times New Roman"/>
              </w:rPr>
              <w:t>0.003318</w:t>
            </w:r>
          </w:p>
        </w:tc>
        <w:tc>
          <w:tcPr>
            <w:tcW w:w="2732" w:type="dxa"/>
            <w:shd w:val="clear" w:color="auto" w:fill="auto"/>
            <w:vAlign w:val="center"/>
          </w:tcPr>
          <w:p w14:paraId="2B5C81DD">
            <w:pPr>
              <w:pStyle w:val="181"/>
              <w:rPr>
                <w:rFonts w:ascii="Times New Roman"/>
              </w:rPr>
            </w:pPr>
            <w:r>
              <w:rPr>
                <w:rFonts w:ascii="Times New Roman"/>
              </w:rPr>
              <w:t>0.566800</w:t>
            </w:r>
          </w:p>
        </w:tc>
      </w:tr>
      <w:tr w14:paraId="177AF7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99" w:type="dxa"/>
            <w:shd w:val="clear" w:color="auto" w:fill="auto"/>
            <w:vAlign w:val="center"/>
          </w:tcPr>
          <w:p w14:paraId="6CA64A21">
            <w:pPr>
              <w:pStyle w:val="181"/>
              <w:rPr>
                <w:rFonts w:ascii="Times New Roman"/>
              </w:rPr>
            </w:pPr>
            <w:r>
              <w:rPr>
                <w:rFonts w:ascii="Times New Roman"/>
              </w:rPr>
              <w:t>610</w:t>
            </w:r>
          </w:p>
        </w:tc>
        <w:tc>
          <w:tcPr>
            <w:tcW w:w="2682" w:type="dxa"/>
            <w:shd w:val="clear" w:color="auto" w:fill="auto"/>
            <w:vAlign w:val="center"/>
          </w:tcPr>
          <w:p w14:paraId="683E3905">
            <w:pPr>
              <w:pStyle w:val="181"/>
              <w:rPr>
                <w:rFonts w:ascii="Times New Roman"/>
              </w:rPr>
            </w:pPr>
            <w:r>
              <w:rPr>
                <w:rFonts w:ascii="Times New Roman"/>
              </w:rPr>
              <w:t>0.000025</w:t>
            </w:r>
          </w:p>
        </w:tc>
        <w:tc>
          <w:tcPr>
            <w:tcW w:w="2921" w:type="dxa"/>
            <w:shd w:val="clear" w:color="auto" w:fill="auto"/>
            <w:vAlign w:val="center"/>
          </w:tcPr>
          <w:p w14:paraId="393D9E16">
            <w:pPr>
              <w:pStyle w:val="181"/>
              <w:rPr>
                <w:rFonts w:ascii="Times New Roman"/>
              </w:rPr>
            </w:pPr>
            <w:r>
              <w:rPr>
                <w:rFonts w:ascii="Times New Roman"/>
              </w:rPr>
              <w:t>0.002177</w:t>
            </w:r>
          </w:p>
        </w:tc>
        <w:tc>
          <w:tcPr>
            <w:tcW w:w="2732" w:type="dxa"/>
            <w:shd w:val="clear" w:color="auto" w:fill="auto"/>
            <w:vAlign w:val="center"/>
          </w:tcPr>
          <w:p w14:paraId="7A90D732">
            <w:pPr>
              <w:pStyle w:val="181"/>
              <w:rPr>
                <w:rFonts w:ascii="Times New Roman"/>
              </w:rPr>
            </w:pPr>
            <w:r>
              <w:rPr>
                <w:rFonts w:ascii="Times New Roman"/>
              </w:rPr>
              <w:t>0.503000</w:t>
            </w:r>
          </w:p>
        </w:tc>
      </w:tr>
    </w:tbl>
    <w:p w14:paraId="15E4A67F">
      <w:pPr>
        <w:pStyle w:val="59"/>
        <w:spacing w:before="120" w:beforeLines="50" w:after="120" w:afterLines="50"/>
        <w:ind w:firstLine="420" w:firstLineChars="0"/>
        <w:jc w:val="center"/>
      </w:pPr>
      <w:r>
        <w:rPr>
          <w:rFonts w:hint="eastAsia" w:ascii="黑体" w:hAnsi="黑体" w:eastAsia="黑体"/>
        </w:rPr>
        <w:t xml:space="preserve">表C.1 </w:t>
      </w:r>
      <w:r>
        <w:rPr>
          <w:rFonts w:hint="eastAsia"/>
        </w:rPr>
        <w:t>视黑素及视觉响应数值表（续）</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999"/>
        <w:gridCol w:w="2682"/>
        <w:gridCol w:w="2921"/>
        <w:gridCol w:w="2732"/>
      </w:tblGrid>
      <w:tr w14:paraId="6A39BE1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999" w:type="dxa"/>
            <w:tcBorders>
              <w:top w:val="single" w:color="auto" w:sz="8" w:space="0"/>
              <w:bottom w:val="single" w:color="auto" w:sz="8" w:space="0"/>
            </w:tcBorders>
            <w:shd w:val="clear" w:color="auto" w:fill="auto"/>
            <w:vAlign w:val="center"/>
          </w:tcPr>
          <w:p w14:paraId="6B71DA42">
            <w:pPr>
              <w:pStyle w:val="181"/>
            </w:pPr>
            <w:r>
              <w:rPr>
                <w:rFonts w:hint="eastAsia"/>
              </w:rPr>
              <w:t>波长λ</w:t>
            </w:r>
          </w:p>
          <w:p w14:paraId="38162870">
            <w:pPr>
              <w:pStyle w:val="181"/>
            </w:pPr>
            <w:r>
              <w:t>nm</w:t>
            </w:r>
          </w:p>
        </w:tc>
        <w:tc>
          <w:tcPr>
            <w:tcW w:w="2682" w:type="dxa"/>
            <w:tcBorders>
              <w:top w:val="single" w:color="auto" w:sz="8" w:space="0"/>
              <w:bottom w:val="single" w:color="auto" w:sz="8" w:space="0"/>
            </w:tcBorders>
            <w:shd w:val="clear" w:color="auto" w:fill="auto"/>
            <w:vAlign w:val="center"/>
          </w:tcPr>
          <w:p w14:paraId="08EFCEAD">
            <w:pPr>
              <w:pStyle w:val="181"/>
            </w:pPr>
            <w:r>
              <w:rPr>
                <w:rFonts w:hint="eastAsia"/>
              </w:rPr>
              <w:t>视黑素光谱光视效能函数</w:t>
            </w:r>
          </w:p>
          <w:p w14:paraId="0F46A7E9">
            <w:pPr>
              <w:pStyle w:val="181"/>
            </w:pPr>
            <m:oMathPara>
              <m:oMath>
                <m:sSub>
                  <m:sSubPr>
                    <m:ctrlPr>
                      <w:rPr>
                        <w:rFonts w:ascii="Cambria Math" w:hAnsi="Cambria Math"/>
                        <w:bCs/>
                        <w:i/>
                        <w:szCs w:val="18"/>
                      </w:rPr>
                    </m:ctrlPr>
                  </m:sSubPr>
                  <m:e>
                    <m:r>
                      <m:rPr/>
                      <w:rPr>
                        <w:rFonts w:ascii="Cambria Math" w:hAnsi="Cambria Math"/>
                        <w:szCs w:val="18"/>
                      </w:rPr>
                      <m:t>Ν</m:t>
                    </m:r>
                    <m:ctrlPr>
                      <w:rPr>
                        <w:rFonts w:ascii="Cambria Math" w:hAnsi="Cambria Math"/>
                        <w:bCs/>
                        <w:i/>
                        <w:szCs w:val="18"/>
                      </w:rPr>
                    </m:ctrlPr>
                  </m:e>
                  <m:sub>
                    <m:r>
                      <m:rPr/>
                      <w:rPr>
                        <w:rFonts w:ascii="Cambria Math" w:hAnsi="Cambria Math"/>
                        <w:szCs w:val="18"/>
                      </w:rPr>
                      <m:t>z</m:t>
                    </m:r>
                    <m:ctrlPr>
                      <w:rPr>
                        <w:rFonts w:ascii="Cambria Math" w:hAnsi="Cambria Math"/>
                        <w:bCs/>
                        <w:i/>
                        <w:szCs w:val="18"/>
                      </w:rPr>
                    </m:ctrlPr>
                  </m:sub>
                </m:sSub>
                <m:d>
                  <m:dPr>
                    <m:ctrlPr>
                      <w:rPr>
                        <w:rFonts w:ascii="Cambria Math" w:hAnsi="Cambria Math"/>
                        <w:bCs/>
                        <w:i/>
                        <w:szCs w:val="18"/>
                      </w:rPr>
                    </m:ctrlPr>
                  </m:dPr>
                  <m:e>
                    <m:r>
                      <m:rPr/>
                      <w:rPr>
                        <w:rFonts w:ascii="Cambria Math" w:hAnsi="Cambria Math"/>
                        <w:szCs w:val="18"/>
                      </w:rPr>
                      <m:t>λ</m:t>
                    </m:r>
                    <m:ctrlPr>
                      <w:rPr>
                        <w:rFonts w:ascii="Cambria Math" w:hAnsi="Cambria Math"/>
                        <w:bCs/>
                        <w:i/>
                        <w:szCs w:val="18"/>
                      </w:rPr>
                    </m:ctrlPr>
                  </m:e>
                </m:d>
              </m:oMath>
            </m:oMathPara>
          </w:p>
        </w:tc>
        <w:tc>
          <w:tcPr>
            <w:tcW w:w="2921" w:type="dxa"/>
            <w:tcBorders>
              <w:top w:val="single" w:color="auto" w:sz="8" w:space="0"/>
              <w:bottom w:val="single" w:color="auto" w:sz="8" w:space="0"/>
            </w:tcBorders>
            <w:shd w:val="clear" w:color="auto" w:fill="auto"/>
            <w:vAlign w:val="center"/>
          </w:tcPr>
          <w:p w14:paraId="15479513">
            <w:pPr>
              <w:pStyle w:val="181"/>
            </w:pPr>
            <w:r>
              <w:rPr>
                <w:rFonts w:hint="eastAsia"/>
              </w:rPr>
              <w:t>视黑素蛋白光谱响应的函数</w:t>
            </w:r>
          </w:p>
          <w:p w14:paraId="16FFD292">
            <w:pPr>
              <w:pStyle w:val="181"/>
            </w:pPr>
            <m:oMathPara>
              <m:oMath>
                <m:sSub>
                  <m:sSubPr>
                    <m:ctrlPr>
                      <w:rPr>
                        <w:rFonts w:ascii="Cambria Math" w:hAnsi="Cambria Math"/>
                        <w:i/>
                        <w:iCs/>
                        <w:szCs w:val="18"/>
                      </w:rPr>
                    </m:ctrlPr>
                  </m:sSubPr>
                  <m:e>
                    <m:r>
                      <m:rPr/>
                      <w:rPr>
                        <w:rFonts w:hint="eastAsia" w:ascii="Cambria Math" w:hAnsi="Cambria Math"/>
                        <w:szCs w:val="18"/>
                      </w:rPr>
                      <m:t>s</m:t>
                    </m:r>
                    <m:ctrlPr>
                      <w:rPr>
                        <w:rFonts w:ascii="Cambria Math" w:hAnsi="Cambria Math"/>
                        <w:i/>
                        <w:iCs/>
                        <w:szCs w:val="18"/>
                      </w:rPr>
                    </m:ctrlPr>
                  </m:e>
                  <m:sub>
                    <m:r>
                      <m:rPr/>
                      <w:rPr>
                        <w:rFonts w:hint="eastAsia" w:ascii="Cambria Math" w:hAnsi="Cambria Math"/>
                        <w:szCs w:val="18"/>
                      </w:rPr>
                      <m:t>mel</m:t>
                    </m:r>
                    <m:ctrlPr>
                      <w:rPr>
                        <w:rFonts w:ascii="Cambria Math" w:hAnsi="Cambria Math"/>
                        <w:i/>
                        <w:iCs/>
                        <w:szCs w:val="18"/>
                      </w:rPr>
                    </m:ctrlPr>
                  </m:sub>
                </m:sSub>
                <m:r>
                  <m:rPr>
                    <m:sty m:val="p"/>
                  </m:rPr>
                  <w:rPr>
                    <w:rFonts w:ascii="Cambria Math" w:hAnsi="Cambria Math"/>
                    <w:szCs w:val="18"/>
                  </w:rPr>
                  <m:t>(</m:t>
                </m:r>
                <m:r>
                  <m:rPr/>
                  <w:rPr>
                    <w:rFonts w:hint="eastAsia" w:ascii="Cambria Math" w:hAnsi="Cambria Math"/>
                    <w:szCs w:val="18"/>
                  </w:rPr>
                  <m:t>λ</m:t>
                </m:r>
                <m:r>
                  <m:rPr>
                    <m:sty m:val="p"/>
                  </m:rPr>
                  <w:rPr>
                    <w:rFonts w:ascii="Cambria Math" w:hAnsi="Cambria Math"/>
                    <w:szCs w:val="18"/>
                  </w:rPr>
                  <m:t>)</m:t>
                </m:r>
              </m:oMath>
            </m:oMathPara>
          </w:p>
        </w:tc>
        <w:tc>
          <w:tcPr>
            <w:tcW w:w="2732" w:type="dxa"/>
            <w:tcBorders>
              <w:top w:val="single" w:color="auto" w:sz="8" w:space="0"/>
              <w:bottom w:val="single" w:color="auto" w:sz="8" w:space="0"/>
            </w:tcBorders>
            <w:shd w:val="clear" w:color="auto" w:fill="auto"/>
            <w:vAlign w:val="center"/>
          </w:tcPr>
          <w:p w14:paraId="5D94B80D">
            <w:pPr>
              <w:pStyle w:val="181"/>
            </w:pPr>
            <w:r>
              <w:rPr>
                <w:rFonts w:hint="eastAsia"/>
              </w:rPr>
              <w:t>明视觉光谱光视效能函数</w:t>
            </w:r>
          </w:p>
          <w:p w14:paraId="3FFAB832">
            <w:pPr>
              <w:pStyle w:val="181"/>
            </w:pPr>
            <m:oMathPara>
              <m:oMath>
                <m:r>
                  <m:rPr/>
                  <w:rPr>
                    <w:rFonts w:ascii="Cambria Math" w:hAnsi="Cambria Math"/>
                    <w:szCs w:val="18"/>
                  </w:rPr>
                  <m:t>V</m:t>
                </m:r>
                <m:d>
                  <m:dPr>
                    <m:ctrlPr>
                      <w:rPr>
                        <w:rFonts w:ascii="Cambria Math" w:hAnsi="Cambria Math"/>
                        <w:bCs/>
                        <w:i/>
                        <w:szCs w:val="18"/>
                      </w:rPr>
                    </m:ctrlPr>
                  </m:dPr>
                  <m:e>
                    <m:r>
                      <m:rPr/>
                      <w:rPr>
                        <w:rFonts w:ascii="Cambria Math" w:hAnsi="Cambria Math"/>
                        <w:szCs w:val="18"/>
                      </w:rPr>
                      <m:t>λ</m:t>
                    </m:r>
                    <m:ctrlPr>
                      <w:rPr>
                        <w:rFonts w:ascii="Cambria Math" w:hAnsi="Cambria Math"/>
                        <w:bCs/>
                        <w:i/>
                        <w:szCs w:val="18"/>
                      </w:rPr>
                    </m:ctrlPr>
                  </m:e>
                </m:d>
              </m:oMath>
            </m:oMathPara>
          </w:p>
        </w:tc>
      </w:tr>
      <w:tr w14:paraId="29E960A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99" w:type="dxa"/>
            <w:shd w:val="clear" w:color="auto" w:fill="auto"/>
            <w:vAlign w:val="center"/>
          </w:tcPr>
          <w:p w14:paraId="648ABA51">
            <w:pPr>
              <w:pStyle w:val="181"/>
              <w:rPr>
                <w:rFonts w:ascii="Times New Roman"/>
              </w:rPr>
            </w:pPr>
            <w:r>
              <w:rPr>
                <w:rFonts w:ascii="Times New Roman"/>
              </w:rPr>
              <w:t>615</w:t>
            </w:r>
          </w:p>
        </w:tc>
        <w:tc>
          <w:tcPr>
            <w:tcW w:w="2682" w:type="dxa"/>
            <w:shd w:val="clear" w:color="auto" w:fill="auto"/>
            <w:vAlign w:val="center"/>
          </w:tcPr>
          <w:p w14:paraId="03EBD48F">
            <w:pPr>
              <w:pStyle w:val="181"/>
              <w:rPr>
                <w:rFonts w:ascii="Times New Roman"/>
              </w:rPr>
            </w:pPr>
            <w:r>
              <w:rPr>
                <w:rFonts w:ascii="Times New Roman"/>
              </w:rPr>
              <w:t>0.000016</w:t>
            </w:r>
          </w:p>
        </w:tc>
        <w:tc>
          <w:tcPr>
            <w:tcW w:w="2921" w:type="dxa"/>
            <w:shd w:val="clear" w:color="auto" w:fill="auto"/>
            <w:vAlign w:val="center"/>
          </w:tcPr>
          <w:p w14:paraId="00C59AB1">
            <w:pPr>
              <w:pStyle w:val="181"/>
              <w:rPr>
                <w:rFonts w:ascii="Times New Roman"/>
              </w:rPr>
            </w:pPr>
            <w:r>
              <w:rPr>
                <w:rFonts w:ascii="Times New Roman"/>
              </w:rPr>
              <w:t>0.001433</w:t>
            </w:r>
          </w:p>
        </w:tc>
        <w:tc>
          <w:tcPr>
            <w:tcW w:w="2732" w:type="dxa"/>
            <w:shd w:val="clear" w:color="auto" w:fill="auto"/>
            <w:vAlign w:val="center"/>
          </w:tcPr>
          <w:p w14:paraId="45B66D1E">
            <w:pPr>
              <w:pStyle w:val="181"/>
              <w:rPr>
                <w:rFonts w:ascii="Times New Roman"/>
              </w:rPr>
            </w:pPr>
            <w:r>
              <w:rPr>
                <w:rFonts w:ascii="Times New Roman"/>
              </w:rPr>
              <w:t>0.441200</w:t>
            </w:r>
          </w:p>
        </w:tc>
      </w:tr>
      <w:tr w14:paraId="72F0C36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99" w:type="dxa"/>
            <w:shd w:val="clear" w:color="auto" w:fill="auto"/>
            <w:vAlign w:val="center"/>
          </w:tcPr>
          <w:p w14:paraId="42683D31">
            <w:pPr>
              <w:pStyle w:val="181"/>
              <w:rPr>
                <w:rFonts w:ascii="Times New Roman"/>
              </w:rPr>
            </w:pPr>
            <w:r>
              <w:rPr>
                <w:rFonts w:ascii="Times New Roman"/>
              </w:rPr>
              <w:t>620</w:t>
            </w:r>
          </w:p>
        </w:tc>
        <w:tc>
          <w:tcPr>
            <w:tcW w:w="2682" w:type="dxa"/>
            <w:shd w:val="clear" w:color="auto" w:fill="auto"/>
            <w:vAlign w:val="center"/>
          </w:tcPr>
          <w:p w14:paraId="5E8D9554">
            <w:pPr>
              <w:pStyle w:val="181"/>
              <w:rPr>
                <w:rFonts w:ascii="Times New Roman"/>
              </w:rPr>
            </w:pPr>
            <w:r>
              <w:rPr>
                <w:rFonts w:ascii="Times New Roman"/>
              </w:rPr>
              <w:t>0.000011</w:t>
            </w:r>
          </w:p>
        </w:tc>
        <w:tc>
          <w:tcPr>
            <w:tcW w:w="2921" w:type="dxa"/>
            <w:shd w:val="clear" w:color="auto" w:fill="auto"/>
            <w:vAlign w:val="center"/>
          </w:tcPr>
          <w:p w14:paraId="29E47A66">
            <w:pPr>
              <w:pStyle w:val="181"/>
              <w:rPr>
                <w:rFonts w:ascii="Times New Roman"/>
              </w:rPr>
            </w:pPr>
            <w:r>
              <w:rPr>
                <w:rFonts w:ascii="Times New Roman"/>
              </w:rPr>
              <w:t>0.000947</w:t>
            </w:r>
          </w:p>
        </w:tc>
        <w:tc>
          <w:tcPr>
            <w:tcW w:w="2732" w:type="dxa"/>
            <w:shd w:val="clear" w:color="auto" w:fill="auto"/>
            <w:vAlign w:val="center"/>
          </w:tcPr>
          <w:p w14:paraId="0C23528E">
            <w:pPr>
              <w:pStyle w:val="181"/>
              <w:rPr>
                <w:rFonts w:ascii="Times New Roman"/>
              </w:rPr>
            </w:pPr>
            <w:r>
              <w:rPr>
                <w:rFonts w:ascii="Times New Roman"/>
              </w:rPr>
              <w:t>0.381000</w:t>
            </w:r>
          </w:p>
        </w:tc>
      </w:tr>
      <w:tr w14:paraId="0E6A782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99" w:type="dxa"/>
            <w:shd w:val="clear" w:color="auto" w:fill="auto"/>
            <w:vAlign w:val="center"/>
          </w:tcPr>
          <w:p w14:paraId="7E9515AF">
            <w:pPr>
              <w:pStyle w:val="181"/>
              <w:rPr>
                <w:rFonts w:ascii="Times New Roman"/>
              </w:rPr>
            </w:pPr>
            <w:r>
              <w:rPr>
                <w:rFonts w:ascii="Times New Roman"/>
              </w:rPr>
              <w:t>625</w:t>
            </w:r>
          </w:p>
        </w:tc>
        <w:tc>
          <w:tcPr>
            <w:tcW w:w="2682" w:type="dxa"/>
            <w:shd w:val="clear" w:color="auto" w:fill="auto"/>
            <w:vAlign w:val="center"/>
          </w:tcPr>
          <w:p w14:paraId="3E32C0B5">
            <w:pPr>
              <w:pStyle w:val="181"/>
              <w:rPr>
                <w:rFonts w:ascii="Times New Roman"/>
              </w:rPr>
            </w:pPr>
            <w:r>
              <w:rPr>
                <w:rFonts w:ascii="Times New Roman"/>
              </w:rPr>
              <w:t>0.000007</w:t>
            </w:r>
          </w:p>
        </w:tc>
        <w:tc>
          <w:tcPr>
            <w:tcW w:w="2921" w:type="dxa"/>
            <w:shd w:val="clear" w:color="auto" w:fill="auto"/>
            <w:vAlign w:val="center"/>
          </w:tcPr>
          <w:p w14:paraId="46A19621">
            <w:pPr>
              <w:pStyle w:val="181"/>
              <w:rPr>
                <w:rFonts w:ascii="Times New Roman"/>
              </w:rPr>
            </w:pPr>
            <w:r>
              <w:rPr>
                <w:rFonts w:ascii="Times New Roman"/>
              </w:rPr>
              <w:t>0.000628</w:t>
            </w:r>
          </w:p>
        </w:tc>
        <w:tc>
          <w:tcPr>
            <w:tcW w:w="2732" w:type="dxa"/>
            <w:shd w:val="clear" w:color="auto" w:fill="auto"/>
            <w:vAlign w:val="center"/>
          </w:tcPr>
          <w:p w14:paraId="14A0C8CF">
            <w:pPr>
              <w:pStyle w:val="181"/>
              <w:rPr>
                <w:rFonts w:ascii="Times New Roman"/>
              </w:rPr>
            </w:pPr>
            <w:r>
              <w:rPr>
                <w:rFonts w:ascii="Times New Roman"/>
              </w:rPr>
              <w:t>0.321000</w:t>
            </w:r>
          </w:p>
        </w:tc>
      </w:tr>
      <w:tr w14:paraId="410A16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99" w:type="dxa"/>
            <w:shd w:val="clear" w:color="auto" w:fill="auto"/>
            <w:vAlign w:val="center"/>
          </w:tcPr>
          <w:p w14:paraId="4AD93E68">
            <w:pPr>
              <w:pStyle w:val="181"/>
              <w:rPr>
                <w:rFonts w:ascii="Times New Roman"/>
              </w:rPr>
            </w:pPr>
            <w:r>
              <w:rPr>
                <w:rFonts w:ascii="Times New Roman"/>
              </w:rPr>
              <w:t>630</w:t>
            </w:r>
          </w:p>
        </w:tc>
        <w:tc>
          <w:tcPr>
            <w:tcW w:w="2682" w:type="dxa"/>
            <w:shd w:val="clear" w:color="auto" w:fill="auto"/>
            <w:vAlign w:val="center"/>
          </w:tcPr>
          <w:p w14:paraId="4080BFA4">
            <w:pPr>
              <w:pStyle w:val="181"/>
              <w:rPr>
                <w:rFonts w:ascii="Times New Roman"/>
              </w:rPr>
            </w:pPr>
            <w:r>
              <w:rPr>
                <w:rFonts w:ascii="Times New Roman"/>
              </w:rPr>
              <w:t>0.000005</w:t>
            </w:r>
          </w:p>
        </w:tc>
        <w:tc>
          <w:tcPr>
            <w:tcW w:w="2921" w:type="dxa"/>
            <w:shd w:val="clear" w:color="auto" w:fill="auto"/>
            <w:vAlign w:val="center"/>
          </w:tcPr>
          <w:p w14:paraId="50618264">
            <w:pPr>
              <w:pStyle w:val="181"/>
              <w:rPr>
                <w:rFonts w:ascii="Times New Roman"/>
              </w:rPr>
            </w:pPr>
            <w:r>
              <w:rPr>
                <w:rFonts w:ascii="Times New Roman"/>
              </w:rPr>
              <w:t>0.000418</w:t>
            </w:r>
          </w:p>
        </w:tc>
        <w:tc>
          <w:tcPr>
            <w:tcW w:w="2732" w:type="dxa"/>
            <w:shd w:val="clear" w:color="auto" w:fill="auto"/>
            <w:vAlign w:val="center"/>
          </w:tcPr>
          <w:p w14:paraId="236E77F6">
            <w:pPr>
              <w:pStyle w:val="181"/>
              <w:rPr>
                <w:rFonts w:ascii="Times New Roman"/>
              </w:rPr>
            </w:pPr>
            <w:r>
              <w:rPr>
                <w:rFonts w:ascii="Times New Roman"/>
              </w:rPr>
              <w:t>0.265000</w:t>
            </w:r>
          </w:p>
        </w:tc>
      </w:tr>
      <w:tr w14:paraId="560285C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99" w:type="dxa"/>
            <w:shd w:val="clear" w:color="auto" w:fill="auto"/>
            <w:vAlign w:val="center"/>
          </w:tcPr>
          <w:p w14:paraId="3B8F1CDE">
            <w:pPr>
              <w:pStyle w:val="181"/>
              <w:rPr>
                <w:rFonts w:ascii="Times New Roman"/>
              </w:rPr>
            </w:pPr>
            <w:r>
              <w:rPr>
                <w:rFonts w:ascii="Times New Roman"/>
              </w:rPr>
              <w:t>635</w:t>
            </w:r>
          </w:p>
        </w:tc>
        <w:tc>
          <w:tcPr>
            <w:tcW w:w="2682" w:type="dxa"/>
            <w:shd w:val="clear" w:color="auto" w:fill="auto"/>
            <w:vAlign w:val="center"/>
          </w:tcPr>
          <w:p w14:paraId="7AE4794E">
            <w:pPr>
              <w:pStyle w:val="181"/>
              <w:rPr>
                <w:rFonts w:ascii="Times New Roman"/>
              </w:rPr>
            </w:pPr>
            <w:r>
              <w:rPr>
                <w:rFonts w:ascii="Times New Roman"/>
              </w:rPr>
              <w:t>0.000003</w:t>
            </w:r>
          </w:p>
        </w:tc>
        <w:tc>
          <w:tcPr>
            <w:tcW w:w="2921" w:type="dxa"/>
            <w:shd w:val="clear" w:color="auto" w:fill="auto"/>
            <w:vAlign w:val="center"/>
          </w:tcPr>
          <w:p w14:paraId="7105DC43">
            <w:pPr>
              <w:pStyle w:val="181"/>
              <w:rPr>
                <w:rFonts w:ascii="Times New Roman"/>
              </w:rPr>
            </w:pPr>
            <w:r>
              <w:rPr>
                <w:rFonts w:ascii="Times New Roman"/>
              </w:rPr>
              <w:t>0.000280</w:t>
            </w:r>
          </w:p>
        </w:tc>
        <w:tc>
          <w:tcPr>
            <w:tcW w:w="2732" w:type="dxa"/>
            <w:shd w:val="clear" w:color="auto" w:fill="auto"/>
            <w:vAlign w:val="center"/>
          </w:tcPr>
          <w:p w14:paraId="7663C759">
            <w:pPr>
              <w:pStyle w:val="181"/>
              <w:rPr>
                <w:rFonts w:ascii="Times New Roman"/>
              </w:rPr>
            </w:pPr>
            <w:r>
              <w:rPr>
                <w:rFonts w:ascii="Times New Roman"/>
              </w:rPr>
              <w:t>0.217000</w:t>
            </w:r>
          </w:p>
        </w:tc>
      </w:tr>
      <w:tr w14:paraId="315E7FD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99" w:type="dxa"/>
            <w:shd w:val="clear" w:color="auto" w:fill="auto"/>
            <w:vAlign w:val="center"/>
          </w:tcPr>
          <w:p w14:paraId="5990C5F0">
            <w:pPr>
              <w:pStyle w:val="181"/>
              <w:rPr>
                <w:rFonts w:ascii="Times New Roman"/>
              </w:rPr>
            </w:pPr>
            <w:r>
              <w:rPr>
                <w:rFonts w:ascii="Times New Roman"/>
              </w:rPr>
              <w:t>640</w:t>
            </w:r>
          </w:p>
        </w:tc>
        <w:tc>
          <w:tcPr>
            <w:tcW w:w="2682" w:type="dxa"/>
            <w:shd w:val="clear" w:color="auto" w:fill="auto"/>
            <w:vAlign w:val="center"/>
          </w:tcPr>
          <w:p w14:paraId="4319B0E1">
            <w:pPr>
              <w:pStyle w:val="181"/>
              <w:rPr>
                <w:rFonts w:ascii="Times New Roman"/>
              </w:rPr>
            </w:pPr>
            <w:r>
              <w:rPr>
                <w:rFonts w:ascii="Times New Roman"/>
              </w:rPr>
              <w:t>0.000002</w:t>
            </w:r>
          </w:p>
        </w:tc>
        <w:tc>
          <w:tcPr>
            <w:tcW w:w="2921" w:type="dxa"/>
            <w:shd w:val="clear" w:color="auto" w:fill="auto"/>
            <w:vAlign w:val="center"/>
          </w:tcPr>
          <w:p w14:paraId="29E8C4D5">
            <w:pPr>
              <w:pStyle w:val="181"/>
              <w:rPr>
                <w:rFonts w:ascii="Times New Roman"/>
              </w:rPr>
            </w:pPr>
            <w:r>
              <w:rPr>
                <w:rFonts w:ascii="Times New Roman"/>
              </w:rPr>
              <w:t>0.000188</w:t>
            </w:r>
          </w:p>
        </w:tc>
        <w:tc>
          <w:tcPr>
            <w:tcW w:w="2732" w:type="dxa"/>
            <w:shd w:val="clear" w:color="auto" w:fill="auto"/>
            <w:vAlign w:val="center"/>
          </w:tcPr>
          <w:p w14:paraId="40D19F14">
            <w:pPr>
              <w:pStyle w:val="181"/>
              <w:rPr>
                <w:rFonts w:ascii="Times New Roman"/>
              </w:rPr>
            </w:pPr>
            <w:r>
              <w:rPr>
                <w:rFonts w:ascii="Times New Roman"/>
              </w:rPr>
              <w:t>0.175000</w:t>
            </w:r>
          </w:p>
        </w:tc>
      </w:tr>
      <w:tr w14:paraId="327820B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99" w:type="dxa"/>
            <w:shd w:val="clear" w:color="auto" w:fill="auto"/>
            <w:vAlign w:val="center"/>
          </w:tcPr>
          <w:p w14:paraId="6D0BB0B3">
            <w:pPr>
              <w:pStyle w:val="181"/>
              <w:rPr>
                <w:rFonts w:ascii="Times New Roman"/>
              </w:rPr>
            </w:pPr>
            <w:r>
              <w:rPr>
                <w:rFonts w:ascii="Times New Roman"/>
              </w:rPr>
              <w:t>645</w:t>
            </w:r>
          </w:p>
        </w:tc>
        <w:tc>
          <w:tcPr>
            <w:tcW w:w="2682" w:type="dxa"/>
            <w:shd w:val="clear" w:color="auto" w:fill="auto"/>
            <w:vAlign w:val="center"/>
          </w:tcPr>
          <w:p w14:paraId="5AF390FB">
            <w:pPr>
              <w:pStyle w:val="181"/>
              <w:rPr>
                <w:rFonts w:ascii="Times New Roman"/>
              </w:rPr>
            </w:pPr>
            <w:r>
              <w:rPr>
                <w:rFonts w:ascii="Times New Roman"/>
              </w:rPr>
              <w:t>0.000001</w:t>
            </w:r>
          </w:p>
        </w:tc>
        <w:tc>
          <w:tcPr>
            <w:tcW w:w="2921" w:type="dxa"/>
            <w:shd w:val="clear" w:color="auto" w:fill="auto"/>
            <w:vAlign w:val="center"/>
          </w:tcPr>
          <w:p w14:paraId="10ABDCBE">
            <w:pPr>
              <w:pStyle w:val="181"/>
              <w:rPr>
                <w:rFonts w:ascii="Times New Roman"/>
              </w:rPr>
            </w:pPr>
            <w:r>
              <w:rPr>
                <w:rFonts w:ascii="Times New Roman"/>
              </w:rPr>
              <w:t>0.000127</w:t>
            </w:r>
          </w:p>
        </w:tc>
        <w:tc>
          <w:tcPr>
            <w:tcW w:w="2732" w:type="dxa"/>
            <w:shd w:val="clear" w:color="auto" w:fill="auto"/>
            <w:vAlign w:val="center"/>
          </w:tcPr>
          <w:p w14:paraId="588B60D6">
            <w:pPr>
              <w:pStyle w:val="181"/>
              <w:rPr>
                <w:rFonts w:ascii="Times New Roman"/>
              </w:rPr>
            </w:pPr>
            <w:r>
              <w:rPr>
                <w:rFonts w:ascii="Times New Roman"/>
              </w:rPr>
              <w:t>0.138200</w:t>
            </w:r>
          </w:p>
        </w:tc>
      </w:tr>
      <w:tr w14:paraId="2CA996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99" w:type="dxa"/>
            <w:shd w:val="clear" w:color="auto" w:fill="auto"/>
            <w:vAlign w:val="center"/>
          </w:tcPr>
          <w:p w14:paraId="2FD30D83">
            <w:pPr>
              <w:pStyle w:val="181"/>
              <w:rPr>
                <w:rFonts w:ascii="Times New Roman"/>
              </w:rPr>
            </w:pPr>
            <w:r>
              <w:rPr>
                <w:rFonts w:ascii="Times New Roman"/>
              </w:rPr>
              <w:t>650</w:t>
            </w:r>
          </w:p>
        </w:tc>
        <w:tc>
          <w:tcPr>
            <w:tcW w:w="2682" w:type="dxa"/>
            <w:shd w:val="clear" w:color="auto" w:fill="auto"/>
            <w:vAlign w:val="center"/>
          </w:tcPr>
          <w:p w14:paraId="7771FDAD">
            <w:pPr>
              <w:pStyle w:val="181"/>
              <w:rPr>
                <w:rFonts w:ascii="Times New Roman"/>
              </w:rPr>
            </w:pPr>
            <w:r>
              <w:rPr>
                <w:rFonts w:ascii="Times New Roman"/>
              </w:rPr>
              <w:t>0.000001</w:t>
            </w:r>
          </w:p>
        </w:tc>
        <w:tc>
          <w:tcPr>
            <w:tcW w:w="2921" w:type="dxa"/>
            <w:shd w:val="clear" w:color="auto" w:fill="auto"/>
            <w:vAlign w:val="center"/>
          </w:tcPr>
          <w:p w14:paraId="4525CB57">
            <w:pPr>
              <w:pStyle w:val="181"/>
              <w:rPr>
                <w:rFonts w:ascii="Times New Roman"/>
              </w:rPr>
            </w:pPr>
            <w:r>
              <w:rPr>
                <w:rFonts w:ascii="Times New Roman"/>
              </w:rPr>
              <w:t>0.000087</w:t>
            </w:r>
          </w:p>
        </w:tc>
        <w:tc>
          <w:tcPr>
            <w:tcW w:w="2732" w:type="dxa"/>
            <w:shd w:val="clear" w:color="auto" w:fill="auto"/>
            <w:vAlign w:val="center"/>
          </w:tcPr>
          <w:p w14:paraId="284A9B9E">
            <w:pPr>
              <w:pStyle w:val="181"/>
              <w:rPr>
                <w:rFonts w:ascii="Times New Roman"/>
              </w:rPr>
            </w:pPr>
            <w:r>
              <w:rPr>
                <w:rFonts w:ascii="Times New Roman"/>
              </w:rPr>
              <w:t>0.107000</w:t>
            </w:r>
          </w:p>
        </w:tc>
      </w:tr>
      <w:tr w14:paraId="3C7176C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99" w:type="dxa"/>
            <w:shd w:val="clear" w:color="auto" w:fill="auto"/>
            <w:vAlign w:val="center"/>
          </w:tcPr>
          <w:p w14:paraId="11620C1B">
            <w:pPr>
              <w:pStyle w:val="181"/>
              <w:rPr>
                <w:rFonts w:ascii="Times New Roman"/>
              </w:rPr>
            </w:pPr>
            <w:r>
              <w:rPr>
                <w:rFonts w:ascii="Times New Roman"/>
              </w:rPr>
              <w:t>655</w:t>
            </w:r>
          </w:p>
        </w:tc>
        <w:tc>
          <w:tcPr>
            <w:tcW w:w="2682" w:type="dxa"/>
            <w:shd w:val="clear" w:color="auto" w:fill="auto"/>
            <w:vAlign w:val="center"/>
          </w:tcPr>
          <w:p w14:paraId="32512393">
            <w:pPr>
              <w:pStyle w:val="181"/>
              <w:rPr>
                <w:rFonts w:ascii="Times New Roman"/>
              </w:rPr>
            </w:pPr>
            <w:r>
              <w:rPr>
                <w:rFonts w:ascii="Times New Roman"/>
              </w:rPr>
              <w:t>0.000001</w:t>
            </w:r>
          </w:p>
        </w:tc>
        <w:tc>
          <w:tcPr>
            <w:tcW w:w="2921" w:type="dxa"/>
            <w:shd w:val="clear" w:color="auto" w:fill="auto"/>
            <w:vAlign w:val="center"/>
          </w:tcPr>
          <w:p w14:paraId="7C3A1BB3">
            <w:pPr>
              <w:pStyle w:val="181"/>
              <w:rPr>
                <w:rFonts w:ascii="Times New Roman"/>
              </w:rPr>
            </w:pPr>
            <w:r>
              <w:rPr>
                <w:rFonts w:ascii="Times New Roman"/>
              </w:rPr>
              <w:t>0.000059</w:t>
            </w:r>
          </w:p>
        </w:tc>
        <w:tc>
          <w:tcPr>
            <w:tcW w:w="2732" w:type="dxa"/>
            <w:shd w:val="clear" w:color="auto" w:fill="auto"/>
            <w:vAlign w:val="center"/>
          </w:tcPr>
          <w:p w14:paraId="25B6FB95">
            <w:pPr>
              <w:pStyle w:val="181"/>
              <w:rPr>
                <w:rFonts w:ascii="Times New Roman"/>
              </w:rPr>
            </w:pPr>
            <w:r>
              <w:rPr>
                <w:rFonts w:ascii="Times New Roman"/>
              </w:rPr>
              <w:t>0.081600</w:t>
            </w:r>
          </w:p>
        </w:tc>
      </w:tr>
      <w:tr w14:paraId="0D58D9F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99" w:type="dxa"/>
            <w:shd w:val="clear" w:color="auto" w:fill="auto"/>
            <w:vAlign w:val="center"/>
          </w:tcPr>
          <w:p w14:paraId="249FF550">
            <w:pPr>
              <w:pStyle w:val="181"/>
              <w:rPr>
                <w:rFonts w:ascii="Times New Roman"/>
              </w:rPr>
            </w:pPr>
            <w:r>
              <w:rPr>
                <w:rFonts w:ascii="Times New Roman"/>
              </w:rPr>
              <w:t>660</w:t>
            </w:r>
          </w:p>
        </w:tc>
        <w:tc>
          <w:tcPr>
            <w:tcW w:w="2682" w:type="dxa"/>
            <w:shd w:val="clear" w:color="auto" w:fill="auto"/>
            <w:vAlign w:val="center"/>
          </w:tcPr>
          <w:p w14:paraId="1D890E3B">
            <w:pPr>
              <w:pStyle w:val="181"/>
              <w:rPr>
                <w:rFonts w:ascii="Times New Roman"/>
              </w:rPr>
            </w:pPr>
            <w:r>
              <w:rPr>
                <w:rFonts w:ascii="Times New Roman"/>
              </w:rPr>
              <w:t>0.000000</w:t>
            </w:r>
          </w:p>
        </w:tc>
        <w:tc>
          <w:tcPr>
            <w:tcW w:w="2921" w:type="dxa"/>
            <w:shd w:val="clear" w:color="auto" w:fill="auto"/>
            <w:vAlign w:val="center"/>
          </w:tcPr>
          <w:p w14:paraId="79499F94">
            <w:pPr>
              <w:pStyle w:val="181"/>
              <w:rPr>
                <w:rFonts w:ascii="Times New Roman"/>
              </w:rPr>
            </w:pPr>
            <w:r>
              <w:rPr>
                <w:rFonts w:ascii="Times New Roman"/>
              </w:rPr>
              <w:t>0.000041</w:t>
            </w:r>
          </w:p>
        </w:tc>
        <w:tc>
          <w:tcPr>
            <w:tcW w:w="2732" w:type="dxa"/>
            <w:shd w:val="clear" w:color="auto" w:fill="auto"/>
            <w:vAlign w:val="center"/>
          </w:tcPr>
          <w:p w14:paraId="695444FB">
            <w:pPr>
              <w:pStyle w:val="181"/>
              <w:rPr>
                <w:rFonts w:ascii="Times New Roman"/>
              </w:rPr>
            </w:pPr>
            <w:r>
              <w:rPr>
                <w:rFonts w:ascii="Times New Roman"/>
              </w:rPr>
              <w:t>0.061000</w:t>
            </w:r>
          </w:p>
        </w:tc>
      </w:tr>
      <w:tr w14:paraId="1FE46FB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99" w:type="dxa"/>
            <w:shd w:val="clear" w:color="auto" w:fill="auto"/>
            <w:vAlign w:val="center"/>
          </w:tcPr>
          <w:p w14:paraId="62C11074">
            <w:pPr>
              <w:pStyle w:val="181"/>
              <w:rPr>
                <w:rFonts w:ascii="Times New Roman"/>
              </w:rPr>
            </w:pPr>
            <w:r>
              <w:rPr>
                <w:rFonts w:ascii="Times New Roman"/>
              </w:rPr>
              <w:t>665</w:t>
            </w:r>
          </w:p>
        </w:tc>
        <w:tc>
          <w:tcPr>
            <w:tcW w:w="2682" w:type="dxa"/>
            <w:shd w:val="clear" w:color="auto" w:fill="auto"/>
            <w:vAlign w:val="center"/>
          </w:tcPr>
          <w:p w14:paraId="63B6AB21">
            <w:pPr>
              <w:pStyle w:val="181"/>
              <w:rPr>
                <w:rFonts w:ascii="Times New Roman"/>
              </w:rPr>
            </w:pPr>
            <w:r>
              <w:rPr>
                <w:rFonts w:ascii="Times New Roman"/>
              </w:rPr>
              <w:t>0.000000</w:t>
            </w:r>
          </w:p>
        </w:tc>
        <w:tc>
          <w:tcPr>
            <w:tcW w:w="2921" w:type="dxa"/>
            <w:shd w:val="clear" w:color="auto" w:fill="auto"/>
            <w:vAlign w:val="center"/>
          </w:tcPr>
          <w:p w14:paraId="55A2CAAD">
            <w:pPr>
              <w:pStyle w:val="181"/>
              <w:rPr>
                <w:rFonts w:ascii="Times New Roman"/>
              </w:rPr>
            </w:pPr>
            <w:r>
              <w:rPr>
                <w:rFonts w:ascii="Times New Roman"/>
              </w:rPr>
              <w:t>0.000028</w:t>
            </w:r>
          </w:p>
        </w:tc>
        <w:tc>
          <w:tcPr>
            <w:tcW w:w="2732" w:type="dxa"/>
            <w:shd w:val="clear" w:color="auto" w:fill="auto"/>
            <w:vAlign w:val="center"/>
          </w:tcPr>
          <w:p w14:paraId="5764BA00">
            <w:pPr>
              <w:pStyle w:val="181"/>
              <w:rPr>
                <w:rFonts w:ascii="Times New Roman"/>
              </w:rPr>
            </w:pPr>
            <w:r>
              <w:rPr>
                <w:rFonts w:ascii="Times New Roman"/>
              </w:rPr>
              <w:t>0.044580</w:t>
            </w:r>
          </w:p>
        </w:tc>
      </w:tr>
      <w:tr w14:paraId="031C759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23" w:hRule="atLeast"/>
          <w:jc w:val="center"/>
        </w:trPr>
        <w:tc>
          <w:tcPr>
            <w:tcW w:w="999" w:type="dxa"/>
            <w:shd w:val="clear" w:color="auto" w:fill="auto"/>
            <w:vAlign w:val="center"/>
          </w:tcPr>
          <w:p w14:paraId="33B43A3B">
            <w:pPr>
              <w:pStyle w:val="181"/>
              <w:rPr>
                <w:rFonts w:ascii="Times New Roman"/>
              </w:rPr>
            </w:pPr>
            <w:r>
              <w:rPr>
                <w:rFonts w:ascii="Times New Roman"/>
              </w:rPr>
              <w:t>670</w:t>
            </w:r>
          </w:p>
        </w:tc>
        <w:tc>
          <w:tcPr>
            <w:tcW w:w="2682" w:type="dxa"/>
            <w:shd w:val="clear" w:color="auto" w:fill="auto"/>
            <w:vAlign w:val="center"/>
          </w:tcPr>
          <w:p w14:paraId="40E6ABA6">
            <w:pPr>
              <w:pStyle w:val="181"/>
              <w:rPr>
                <w:rFonts w:ascii="Times New Roman"/>
              </w:rPr>
            </w:pPr>
            <w:r>
              <w:rPr>
                <w:rFonts w:ascii="Times New Roman"/>
              </w:rPr>
              <w:t>0.000000</w:t>
            </w:r>
          </w:p>
        </w:tc>
        <w:tc>
          <w:tcPr>
            <w:tcW w:w="2921" w:type="dxa"/>
            <w:shd w:val="clear" w:color="auto" w:fill="auto"/>
            <w:vAlign w:val="center"/>
          </w:tcPr>
          <w:p w14:paraId="19DF9E0D">
            <w:pPr>
              <w:pStyle w:val="181"/>
              <w:rPr>
                <w:rFonts w:ascii="Times New Roman"/>
              </w:rPr>
            </w:pPr>
            <w:r>
              <w:rPr>
                <w:rFonts w:ascii="Times New Roman"/>
              </w:rPr>
              <w:t>0.000020</w:t>
            </w:r>
          </w:p>
        </w:tc>
        <w:tc>
          <w:tcPr>
            <w:tcW w:w="2732" w:type="dxa"/>
            <w:shd w:val="clear" w:color="auto" w:fill="auto"/>
            <w:vAlign w:val="center"/>
          </w:tcPr>
          <w:p w14:paraId="723DD77E">
            <w:pPr>
              <w:pStyle w:val="181"/>
              <w:rPr>
                <w:rFonts w:ascii="Times New Roman"/>
              </w:rPr>
            </w:pPr>
            <w:r>
              <w:rPr>
                <w:rFonts w:ascii="Times New Roman"/>
              </w:rPr>
              <w:t>0.032000</w:t>
            </w:r>
          </w:p>
        </w:tc>
      </w:tr>
      <w:tr w14:paraId="778862F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23" w:hRule="atLeast"/>
          <w:jc w:val="center"/>
        </w:trPr>
        <w:tc>
          <w:tcPr>
            <w:tcW w:w="999" w:type="dxa"/>
            <w:shd w:val="clear" w:color="auto" w:fill="auto"/>
            <w:vAlign w:val="center"/>
          </w:tcPr>
          <w:p w14:paraId="082203B9">
            <w:pPr>
              <w:pStyle w:val="181"/>
              <w:rPr>
                <w:rFonts w:ascii="Times New Roman"/>
              </w:rPr>
            </w:pPr>
            <w:r>
              <w:rPr>
                <w:rFonts w:ascii="Times New Roman"/>
              </w:rPr>
              <w:t>675</w:t>
            </w:r>
          </w:p>
        </w:tc>
        <w:tc>
          <w:tcPr>
            <w:tcW w:w="2682" w:type="dxa"/>
            <w:shd w:val="clear" w:color="auto" w:fill="auto"/>
            <w:vAlign w:val="center"/>
          </w:tcPr>
          <w:p w14:paraId="2DC1C772">
            <w:pPr>
              <w:pStyle w:val="181"/>
              <w:rPr>
                <w:rFonts w:ascii="Times New Roman"/>
              </w:rPr>
            </w:pPr>
            <w:r>
              <w:rPr>
                <w:rFonts w:ascii="Times New Roman"/>
              </w:rPr>
              <w:t>0.000000</w:t>
            </w:r>
          </w:p>
        </w:tc>
        <w:tc>
          <w:tcPr>
            <w:tcW w:w="2921" w:type="dxa"/>
            <w:shd w:val="clear" w:color="auto" w:fill="auto"/>
            <w:vAlign w:val="center"/>
          </w:tcPr>
          <w:p w14:paraId="2BE1654F">
            <w:pPr>
              <w:pStyle w:val="181"/>
              <w:rPr>
                <w:rFonts w:ascii="Times New Roman"/>
              </w:rPr>
            </w:pPr>
            <w:r>
              <w:rPr>
                <w:rFonts w:ascii="Times New Roman"/>
              </w:rPr>
              <w:t>0.000014</w:t>
            </w:r>
          </w:p>
        </w:tc>
        <w:tc>
          <w:tcPr>
            <w:tcW w:w="2732" w:type="dxa"/>
            <w:shd w:val="clear" w:color="auto" w:fill="auto"/>
            <w:vAlign w:val="center"/>
          </w:tcPr>
          <w:p w14:paraId="4EA9239C">
            <w:pPr>
              <w:pStyle w:val="181"/>
              <w:rPr>
                <w:rFonts w:ascii="Times New Roman"/>
              </w:rPr>
            </w:pPr>
            <w:r>
              <w:rPr>
                <w:rFonts w:ascii="Times New Roman"/>
              </w:rPr>
              <w:t>0.023200</w:t>
            </w:r>
          </w:p>
        </w:tc>
      </w:tr>
      <w:tr w14:paraId="51007BF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23" w:hRule="atLeast"/>
          <w:jc w:val="center"/>
        </w:trPr>
        <w:tc>
          <w:tcPr>
            <w:tcW w:w="999" w:type="dxa"/>
            <w:shd w:val="clear" w:color="auto" w:fill="auto"/>
            <w:vAlign w:val="center"/>
          </w:tcPr>
          <w:p w14:paraId="400DE026">
            <w:pPr>
              <w:pStyle w:val="181"/>
              <w:rPr>
                <w:rFonts w:ascii="Times New Roman"/>
              </w:rPr>
            </w:pPr>
            <w:r>
              <w:rPr>
                <w:rFonts w:ascii="Times New Roman"/>
              </w:rPr>
              <w:t>680</w:t>
            </w:r>
          </w:p>
        </w:tc>
        <w:tc>
          <w:tcPr>
            <w:tcW w:w="2682" w:type="dxa"/>
            <w:shd w:val="clear" w:color="auto" w:fill="auto"/>
            <w:vAlign w:val="center"/>
          </w:tcPr>
          <w:p w14:paraId="6202AD4C">
            <w:pPr>
              <w:pStyle w:val="181"/>
              <w:rPr>
                <w:rFonts w:ascii="Times New Roman"/>
              </w:rPr>
            </w:pPr>
            <w:r>
              <w:rPr>
                <w:rFonts w:ascii="Times New Roman"/>
              </w:rPr>
              <w:t>0.000000</w:t>
            </w:r>
          </w:p>
        </w:tc>
        <w:tc>
          <w:tcPr>
            <w:tcW w:w="2921" w:type="dxa"/>
            <w:shd w:val="clear" w:color="auto" w:fill="auto"/>
            <w:vAlign w:val="center"/>
          </w:tcPr>
          <w:p w14:paraId="2C88E3AB">
            <w:pPr>
              <w:pStyle w:val="181"/>
              <w:rPr>
                <w:rFonts w:ascii="Times New Roman"/>
              </w:rPr>
            </w:pPr>
            <w:r>
              <w:rPr>
                <w:rFonts w:ascii="Times New Roman"/>
              </w:rPr>
              <w:t>0.000010</w:t>
            </w:r>
          </w:p>
        </w:tc>
        <w:tc>
          <w:tcPr>
            <w:tcW w:w="2732" w:type="dxa"/>
            <w:shd w:val="clear" w:color="auto" w:fill="auto"/>
            <w:vAlign w:val="center"/>
          </w:tcPr>
          <w:p w14:paraId="68F775CB">
            <w:pPr>
              <w:pStyle w:val="181"/>
              <w:rPr>
                <w:rFonts w:ascii="Times New Roman"/>
              </w:rPr>
            </w:pPr>
            <w:r>
              <w:rPr>
                <w:rFonts w:ascii="Times New Roman"/>
              </w:rPr>
              <w:t>0.017000</w:t>
            </w:r>
          </w:p>
        </w:tc>
      </w:tr>
      <w:tr w14:paraId="241BE0D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23" w:hRule="atLeast"/>
          <w:jc w:val="center"/>
        </w:trPr>
        <w:tc>
          <w:tcPr>
            <w:tcW w:w="999" w:type="dxa"/>
            <w:shd w:val="clear" w:color="auto" w:fill="auto"/>
            <w:vAlign w:val="center"/>
          </w:tcPr>
          <w:p w14:paraId="10804AB1">
            <w:pPr>
              <w:pStyle w:val="181"/>
              <w:rPr>
                <w:rFonts w:ascii="Times New Roman"/>
              </w:rPr>
            </w:pPr>
            <w:r>
              <w:rPr>
                <w:rFonts w:ascii="Times New Roman"/>
              </w:rPr>
              <w:t>685</w:t>
            </w:r>
          </w:p>
        </w:tc>
        <w:tc>
          <w:tcPr>
            <w:tcW w:w="2682" w:type="dxa"/>
            <w:shd w:val="clear" w:color="auto" w:fill="auto"/>
            <w:vAlign w:val="center"/>
          </w:tcPr>
          <w:p w14:paraId="5985E478">
            <w:pPr>
              <w:pStyle w:val="181"/>
              <w:rPr>
                <w:rFonts w:ascii="Times New Roman"/>
              </w:rPr>
            </w:pPr>
            <w:r>
              <w:rPr>
                <w:rFonts w:ascii="Times New Roman"/>
              </w:rPr>
              <w:t>0.000000</w:t>
            </w:r>
          </w:p>
        </w:tc>
        <w:tc>
          <w:tcPr>
            <w:tcW w:w="2921" w:type="dxa"/>
            <w:shd w:val="clear" w:color="auto" w:fill="auto"/>
            <w:vAlign w:val="center"/>
          </w:tcPr>
          <w:p w14:paraId="294363A5">
            <w:pPr>
              <w:pStyle w:val="181"/>
              <w:rPr>
                <w:rFonts w:ascii="Times New Roman"/>
              </w:rPr>
            </w:pPr>
            <w:r>
              <w:rPr>
                <w:rFonts w:ascii="Times New Roman"/>
              </w:rPr>
              <w:t>0.000007</w:t>
            </w:r>
          </w:p>
        </w:tc>
        <w:tc>
          <w:tcPr>
            <w:tcW w:w="2732" w:type="dxa"/>
            <w:shd w:val="clear" w:color="auto" w:fill="auto"/>
            <w:vAlign w:val="center"/>
          </w:tcPr>
          <w:p w14:paraId="59B8FAF0">
            <w:pPr>
              <w:pStyle w:val="181"/>
              <w:rPr>
                <w:rFonts w:ascii="Times New Roman"/>
              </w:rPr>
            </w:pPr>
            <w:r>
              <w:rPr>
                <w:rFonts w:ascii="Times New Roman"/>
              </w:rPr>
              <w:t>0.011920</w:t>
            </w:r>
          </w:p>
        </w:tc>
      </w:tr>
      <w:tr w14:paraId="16E63A2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23" w:hRule="atLeast"/>
          <w:jc w:val="center"/>
        </w:trPr>
        <w:tc>
          <w:tcPr>
            <w:tcW w:w="999" w:type="dxa"/>
            <w:shd w:val="clear" w:color="auto" w:fill="auto"/>
            <w:vAlign w:val="center"/>
          </w:tcPr>
          <w:p w14:paraId="54353314">
            <w:pPr>
              <w:pStyle w:val="181"/>
              <w:rPr>
                <w:rFonts w:ascii="Times New Roman"/>
              </w:rPr>
            </w:pPr>
            <w:r>
              <w:rPr>
                <w:rFonts w:ascii="Times New Roman"/>
              </w:rPr>
              <w:t>690</w:t>
            </w:r>
          </w:p>
        </w:tc>
        <w:tc>
          <w:tcPr>
            <w:tcW w:w="2682" w:type="dxa"/>
            <w:shd w:val="clear" w:color="auto" w:fill="auto"/>
            <w:vAlign w:val="center"/>
          </w:tcPr>
          <w:p w14:paraId="6CAA3F59">
            <w:pPr>
              <w:pStyle w:val="181"/>
              <w:rPr>
                <w:rFonts w:ascii="Times New Roman"/>
              </w:rPr>
            </w:pPr>
            <w:r>
              <w:rPr>
                <w:rFonts w:ascii="Times New Roman"/>
              </w:rPr>
              <w:t>0.000000</w:t>
            </w:r>
          </w:p>
        </w:tc>
        <w:tc>
          <w:tcPr>
            <w:tcW w:w="2921" w:type="dxa"/>
            <w:shd w:val="clear" w:color="auto" w:fill="auto"/>
            <w:vAlign w:val="center"/>
          </w:tcPr>
          <w:p w14:paraId="69545742">
            <w:pPr>
              <w:pStyle w:val="181"/>
              <w:rPr>
                <w:rFonts w:ascii="Times New Roman"/>
              </w:rPr>
            </w:pPr>
            <w:r>
              <w:rPr>
                <w:rFonts w:ascii="Times New Roman"/>
              </w:rPr>
              <w:t>0.000005</w:t>
            </w:r>
          </w:p>
        </w:tc>
        <w:tc>
          <w:tcPr>
            <w:tcW w:w="2732" w:type="dxa"/>
            <w:shd w:val="clear" w:color="auto" w:fill="auto"/>
            <w:vAlign w:val="center"/>
          </w:tcPr>
          <w:p w14:paraId="2775AB87">
            <w:pPr>
              <w:pStyle w:val="181"/>
              <w:rPr>
                <w:rFonts w:ascii="Times New Roman"/>
              </w:rPr>
            </w:pPr>
            <w:r>
              <w:rPr>
                <w:rFonts w:ascii="Times New Roman"/>
              </w:rPr>
              <w:t>0.008210</w:t>
            </w:r>
          </w:p>
        </w:tc>
      </w:tr>
      <w:tr w14:paraId="670724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23" w:hRule="atLeast"/>
          <w:jc w:val="center"/>
        </w:trPr>
        <w:tc>
          <w:tcPr>
            <w:tcW w:w="999" w:type="dxa"/>
            <w:shd w:val="clear" w:color="auto" w:fill="auto"/>
            <w:vAlign w:val="center"/>
          </w:tcPr>
          <w:p w14:paraId="190E8C65">
            <w:pPr>
              <w:pStyle w:val="181"/>
              <w:rPr>
                <w:rFonts w:ascii="Times New Roman"/>
              </w:rPr>
            </w:pPr>
            <w:r>
              <w:rPr>
                <w:rFonts w:ascii="Times New Roman"/>
              </w:rPr>
              <w:t>695</w:t>
            </w:r>
          </w:p>
        </w:tc>
        <w:tc>
          <w:tcPr>
            <w:tcW w:w="2682" w:type="dxa"/>
            <w:shd w:val="clear" w:color="auto" w:fill="auto"/>
            <w:vAlign w:val="center"/>
          </w:tcPr>
          <w:p w14:paraId="56F1C40A">
            <w:pPr>
              <w:pStyle w:val="181"/>
              <w:rPr>
                <w:rFonts w:ascii="Times New Roman"/>
              </w:rPr>
            </w:pPr>
            <w:r>
              <w:rPr>
                <w:rFonts w:ascii="Times New Roman"/>
              </w:rPr>
              <w:t>0.000000</w:t>
            </w:r>
          </w:p>
        </w:tc>
        <w:tc>
          <w:tcPr>
            <w:tcW w:w="2921" w:type="dxa"/>
            <w:shd w:val="clear" w:color="auto" w:fill="auto"/>
            <w:vAlign w:val="center"/>
          </w:tcPr>
          <w:p w14:paraId="31E32417">
            <w:pPr>
              <w:pStyle w:val="181"/>
              <w:rPr>
                <w:rFonts w:ascii="Times New Roman"/>
              </w:rPr>
            </w:pPr>
            <w:r>
              <w:rPr>
                <w:rFonts w:ascii="Times New Roman"/>
              </w:rPr>
              <w:t>0.000003</w:t>
            </w:r>
          </w:p>
        </w:tc>
        <w:tc>
          <w:tcPr>
            <w:tcW w:w="2732" w:type="dxa"/>
            <w:shd w:val="clear" w:color="auto" w:fill="auto"/>
            <w:vAlign w:val="center"/>
          </w:tcPr>
          <w:p w14:paraId="67AECAEC">
            <w:pPr>
              <w:pStyle w:val="181"/>
              <w:rPr>
                <w:rFonts w:ascii="Times New Roman"/>
              </w:rPr>
            </w:pPr>
            <w:r>
              <w:rPr>
                <w:rFonts w:ascii="Times New Roman"/>
              </w:rPr>
              <w:t>0.005723</w:t>
            </w:r>
          </w:p>
        </w:tc>
      </w:tr>
      <w:tr w14:paraId="17A7D1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23" w:hRule="atLeast"/>
          <w:jc w:val="center"/>
        </w:trPr>
        <w:tc>
          <w:tcPr>
            <w:tcW w:w="999" w:type="dxa"/>
            <w:shd w:val="clear" w:color="auto" w:fill="auto"/>
            <w:vAlign w:val="center"/>
          </w:tcPr>
          <w:p w14:paraId="21374D45">
            <w:pPr>
              <w:pStyle w:val="181"/>
              <w:rPr>
                <w:rFonts w:ascii="Times New Roman"/>
              </w:rPr>
            </w:pPr>
            <w:r>
              <w:rPr>
                <w:rFonts w:ascii="Times New Roman"/>
              </w:rPr>
              <w:t>700</w:t>
            </w:r>
          </w:p>
        </w:tc>
        <w:tc>
          <w:tcPr>
            <w:tcW w:w="2682" w:type="dxa"/>
            <w:shd w:val="clear" w:color="auto" w:fill="auto"/>
            <w:vAlign w:val="center"/>
          </w:tcPr>
          <w:p w14:paraId="3DCA67C0">
            <w:pPr>
              <w:pStyle w:val="181"/>
              <w:rPr>
                <w:rFonts w:ascii="Times New Roman"/>
              </w:rPr>
            </w:pPr>
            <w:r>
              <w:rPr>
                <w:rFonts w:ascii="Times New Roman"/>
              </w:rPr>
              <w:t>0.000000</w:t>
            </w:r>
          </w:p>
        </w:tc>
        <w:tc>
          <w:tcPr>
            <w:tcW w:w="2921" w:type="dxa"/>
            <w:shd w:val="clear" w:color="auto" w:fill="auto"/>
            <w:vAlign w:val="center"/>
          </w:tcPr>
          <w:p w14:paraId="0FD3B216">
            <w:pPr>
              <w:pStyle w:val="181"/>
              <w:rPr>
                <w:rFonts w:ascii="Times New Roman"/>
              </w:rPr>
            </w:pPr>
            <w:r>
              <w:rPr>
                <w:rFonts w:ascii="Times New Roman"/>
              </w:rPr>
              <w:t>0.000002</w:t>
            </w:r>
          </w:p>
        </w:tc>
        <w:tc>
          <w:tcPr>
            <w:tcW w:w="2732" w:type="dxa"/>
            <w:shd w:val="clear" w:color="auto" w:fill="auto"/>
            <w:vAlign w:val="center"/>
          </w:tcPr>
          <w:p w14:paraId="3542B5A4">
            <w:pPr>
              <w:pStyle w:val="181"/>
              <w:rPr>
                <w:rFonts w:ascii="Times New Roman"/>
              </w:rPr>
            </w:pPr>
            <w:r>
              <w:rPr>
                <w:rFonts w:ascii="Times New Roman"/>
              </w:rPr>
              <w:t>0.004102</w:t>
            </w:r>
          </w:p>
        </w:tc>
      </w:tr>
      <w:tr w14:paraId="7554C2A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23" w:hRule="atLeast"/>
          <w:jc w:val="center"/>
        </w:trPr>
        <w:tc>
          <w:tcPr>
            <w:tcW w:w="999" w:type="dxa"/>
            <w:shd w:val="clear" w:color="auto" w:fill="auto"/>
            <w:vAlign w:val="center"/>
          </w:tcPr>
          <w:p w14:paraId="57089B27">
            <w:pPr>
              <w:pStyle w:val="181"/>
              <w:rPr>
                <w:rFonts w:ascii="Times New Roman"/>
              </w:rPr>
            </w:pPr>
            <w:r>
              <w:rPr>
                <w:rFonts w:ascii="Times New Roman"/>
              </w:rPr>
              <w:t>705</w:t>
            </w:r>
          </w:p>
        </w:tc>
        <w:tc>
          <w:tcPr>
            <w:tcW w:w="2682" w:type="dxa"/>
            <w:shd w:val="clear" w:color="auto" w:fill="auto"/>
            <w:vAlign w:val="center"/>
          </w:tcPr>
          <w:p w14:paraId="26B0860E">
            <w:pPr>
              <w:pStyle w:val="181"/>
              <w:rPr>
                <w:rFonts w:ascii="Times New Roman"/>
              </w:rPr>
            </w:pPr>
            <w:r>
              <w:rPr>
                <w:rFonts w:ascii="Times New Roman"/>
              </w:rPr>
              <w:t>0.000000</w:t>
            </w:r>
          </w:p>
        </w:tc>
        <w:tc>
          <w:tcPr>
            <w:tcW w:w="2921" w:type="dxa"/>
            <w:shd w:val="clear" w:color="auto" w:fill="auto"/>
            <w:vAlign w:val="center"/>
          </w:tcPr>
          <w:p w14:paraId="3804E70E">
            <w:pPr>
              <w:pStyle w:val="181"/>
              <w:rPr>
                <w:rFonts w:ascii="Times New Roman"/>
              </w:rPr>
            </w:pPr>
            <w:r>
              <w:rPr>
                <w:rFonts w:ascii="Times New Roman"/>
              </w:rPr>
              <w:t>0.000002</w:t>
            </w:r>
          </w:p>
        </w:tc>
        <w:tc>
          <w:tcPr>
            <w:tcW w:w="2732" w:type="dxa"/>
            <w:shd w:val="clear" w:color="auto" w:fill="auto"/>
            <w:vAlign w:val="center"/>
          </w:tcPr>
          <w:p w14:paraId="67127F44">
            <w:pPr>
              <w:pStyle w:val="181"/>
              <w:rPr>
                <w:rFonts w:ascii="Times New Roman"/>
              </w:rPr>
            </w:pPr>
            <w:r>
              <w:rPr>
                <w:rFonts w:ascii="Times New Roman"/>
              </w:rPr>
              <w:t>0.002929</w:t>
            </w:r>
          </w:p>
        </w:tc>
      </w:tr>
      <w:tr w14:paraId="6F2440E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23" w:hRule="atLeast"/>
          <w:jc w:val="center"/>
        </w:trPr>
        <w:tc>
          <w:tcPr>
            <w:tcW w:w="999" w:type="dxa"/>
            <w:shd w:val="clear" w:color="auto" w:fill="auto"/>
            <w:vAlign w:val="center"/>
          </w:tcPr>
          <w:p w14:paraId="279D646D">
            <w:pPr>
              <w:pStyle w:val="181"/>
              <w:rPr>
                <w:rFonts w:ascii="Times New Roman"/>
              </w:rPr>
            </w:pPr>
            <w:r>
              <w:rPr>
                <w:rFonts w:ascii="Times New Roman"/>
              </w:rPr>
              <w:t>710</w:t>
            </w:r>
          </w:p>
        </w:tc>
        <w:tc>
          <w:tcPr>
            <w:tcW w:w="2682" w:type="dxa"/>
            <w:shd w:val="clear" w:color="auto" w:fill="auto"/>
            <w:vAlign w:val="center"/>
          </w:tcPr>
          <w:p w14:paraId="2CF99FD0">
            <w:pPr>
              <w:pStyle w:val="181"/>
              <w:rPr>
                <w:rFonts w:ascii="Times New Roman"/>
              </w:rPr>
            </w:pPr>
            <w:r>
              <w:rPr>
                <w:rFonts w:ascii="Times New Roman"/>
              </w:rPr>
              <w:t>0.000000</w:t>
            </w:r>
          </w:p>
        </w:tc>
        <w:tc>
          <w:tcPr>
            <w:tcW w:w="2921" w:type="dxa"/>
            <w:shd w:val="clear" w:color="auto" w:fill="auto"/>
            <w:vAlign w:val="center"/>
          </w:tcPr>
          <w:p w14:paraId="5A8CEC98">
            <w:pPr>
              <w:pStyle w:val="181"/>
              <w:rPr>
                <w:rFonts w:ascii="Times New Roman"/>
              </w:rPr>
            </w:pPr>
            <w:r>
              <w:rPr>
                <w:rFonts w:ascii="Times New Roman"/>
              </w:rPr>
              <w:t>0.000001</w:t>
            </w:r>
          </w:p>
        </w:tc>
        <w:tc>
          <w:tcPr>
            <w:tcW w:w="2732" w:type="dxa"/>
            <w:shd w:val="clear" w:color="auto" w:fill="auto"/>
            <w:vAlign w:val="center"/>
          </w:tcPr>
          <w:p w14:paraId="516869E4">
            <w:pPr>
              <w:pStyle w:val="181"/>
              <w:rPr>
                <w:rFonts w:ascii="Times New Roman"/>
              </w:rPr>
            </w:pPr>
            <w:r>
              <w:rPr>
                <w:rFonts w:ascii="Times New Roman"/>
              </w:rPr>
              <w:t>0.002091</w:t>
            </w:r>
          </w:p>
        </w:tc>
      </w:tr>
      <w:tr w14:paraId="17EFD7D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23" w:hRule="atLeast"/>
          <w:jc w:val="center"/>
        </w:trPr>
        <w:tc>
          <w:tcPr>
            <w:tcW w:w="999" w:type="dxa"/>
            <w:shd w:val="clear" w:color="auto" w:fill="auto"/>
            <w:vAlign w:val="center"/>
          </w:tcPr>
          <w:p w14:paraId="15F7F543">
            <w:pPr>
              <w:pStyle w:val="181"/>
              <w:rPr>
                <w:rFonts w:ascii="Times New Roman"/>
              </w:rPr>
            </w:pPr>
            <w:r>
              <w:rPr>
                <w:rFonts w:ascii="Times New Roman"/>
              </w:rPr>
              <w:t>715</w:t>
            </w:r>
          </w:p>
        </w:tc>
        <w:tc>
          <w:tcPr>
            <w:tcW w:w="2682" w:type="dxa"/>
            <w:shd w:val="clear" w:color="auto" w:fill="auto"/>
            <w:vAlign w:val="center"/>
          </w:tcPr>
          <w:p w14:paraId="245D1CC9">
            <w:pPr>
              <w:pStyle w:val="181"/>
              <w:rPr>
                <w:rFonts w:ascii="Times New Roman"/>
              </w:rPr>
            </w:pPr>
            <w:r>
              <w:rPr>
                <w:rFonts w:ascii="Times New Roman"/>
              </w:rPr>
              <w:t>0.000000</w:t>
            </w:r>
          </w:p>
        </w:tc>
        <w:tc>
          <w:tcPr>
            <w:tcW w:w="2921" w:type="dxa"/>
            <w:shd w:val="clear" w:color="auto" w:fill="auto"/>
            <w:vAlign w:val="center"/>
          </w:tcPr>
          <w:p w14:paraId="13D41D5E">
            <w:pPr>
              <w:pStyle w:val="181"/>
              <w:rPr>
                <w:rFonts w:ascii="Times New Roman"/>
              </w:rPr>
            </w:pPr>
            <w:r>
              <w:rPr>
                <w:rFonts w:ascii="Times New Roman"/>
              </w:rPr>
              <w:t>0.000001</w:t>
            </w:r>
          </w:p>
        </w:tc>
        <w:tc>
          <w:tcPr>
            <w:tcW w:w="2732" w:type="dxa"/>
            <w:shd w:val="clear" w:color="auto" w:fill="auto"/>
            <w:vAlign w:val="center"/>
          </w:tcPr>
          <w:p w14:paraId="18F8C4F0">
            <w:pPr>
              <w:pStyle w:val="181"/>
              <w:rPr>
                <w:rFonts w:ascii="Times New Roman"/>
              </w:rPr>
            </w:pPr>
            <w:r>
              <w:rPr>
                <w:rFonts w:ascii="Times New Roman"/>
              </w:rPr>
              <w:t>0.001484</w:t>
            </w:r>
          </w:p>
        </w:tc>
      </w:tr>
      <w:tr w14:paraId="17B79BF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23" w:hRule="atLeast"/>
          <w:jc w:val="center"/>
        </w:trPr>
        <w:tc>
          <w:tcPr>
            <w:tcW w:w="999" w:type="dxa"/>
            <w:shd w:val="clear" w:color="auto" w:fill="auto"/>
            <w:vAlign w:val="center"/>
          </w:tcPr>
          <w:p w14:paraId="3CAAC314">
            <w:pPr>
              <w:pStyle w:val="181"/>
              <w:rPr>
                <w:rFonts w:ascii="Times New Roman"/>
              </w:rPr>
            </w:pPr>
            <w:r>
              <w:rPr>
                <w:rFonts w:ascii="Times New Roman"/>
              </w:rPr>
              <w:t>720</w:t>
            </w:r>
          </w:p>
        </w:tc>
        <w:tc>
          <w:tcPr>
            <w:tcW w:w="2682" w:type="dxa"/>
            <w:shd w:val="clear" w:color="auto" w:fill="auto"/>
            <w:vAlign w:val="center"/>
          </w:tcPr>
          <w:p w14:paraId="6148013C">
            <w:pPr>
              <w:pStyle w:val="181"/>
              <w:rPr>
                <w:rFonts w:ascii="Times New Roman"/>
              </w:rPr>
            </w:pPr>
            <w:r>
              <w:rPr>
                <w:rFonts w:ascii="Times New Roman"/>
              </w:rPr>
              <w:t>0.000000</w:t>
            </w:r>
          </w:p>
        </w:tc>
        <w:tc>
          <w:tcPr>
            <w:tcW w:w="2921" w:type="dxa"/>
            <w:shd w:val="clear" w:color="auto" w:fill="auto"/>
            <w:vAlign w:val="center"/>
          </w:tcPr>
          <w:p w14:paraId="6C9F46ED">
            <w:pPr>
              <w:pStyle w:val="181"/>
              <w:rPr>
                <w:rFonts w:ascii="Times New Roman"/>
              </w:rPr>
            </w:pPr>
            <w:r>
              <w:rPr>
                <w:rFonts w:ascii="Times New Roman"/>
              </w:rPr>
              <w:t>0.000001</w:t>
            </w:r>
          </w:p>
        </w:tc>
        <w:tc>
          <w:tcPr>
            <w:tcW w:w="2732" w:type="dxa"/>
            <w:shd w:val="clear" w:color="auto" w:fill="auto"/>
            <w:vAlign w:val="center"/>
          </w:tcPr>
          <w:p w14:paraId="35334059">
            <w:pPr>
              <w:pStyle w:val="181"/>
              <w:rPr>
                <w:rFonts w:ascii="Times New Roman"/>
              </w:rPr>
            </w:pPr>
            <w:r>
              <w:rPr>
                <w:rFonts w:ascii="Times New Roman"/>
              </w:rPr>
              <w:t>0.001047</w:t>
            </w:r>
          </w:p>
        </w:tc>
      </w:tr>
      <w:tr w14:paraId="424228B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23" w:hRule="atLeast"/>
          <w:jc w:val="center"/>
        </w:trPr>
        <w:tc>
          <w:tcPr>
            <w:tcW w:w="999" w:type="dxa"/>
            <w:shd w:val="clear" w:color="auto" w:fill="auto"/>
            <w:vAlign w:val="center"/>
          </w:tcPr>
          <w:p w14:paraId="71262402">
            <w:pPr>
              <w:pStyle w:val="181"/>
              <w:rPr>
                <w:rFonts w:ascii="Times New Roman"/>
              </w:rPr>
            </w:pPr>
            <w:r>
              <w:rPr>
                <w:rFonts w:ascii="Times New Roman"/>
              </w:rPr>
              <w:t>725</w:t>
            </w:r>
          </w:p>
        </w:tc>
        <w:tc>
          <w:tcPr>
            <w:tcW w:w="2682" w:type="dxa"/>
            <w:shd w:val="clear" w:color="auto" w:fill="auto"/>
            <w:vAlign w:val="center"/>
          </w:tcPr>
          <w:p w14:paraId="16F56134">
            <w:pPr>
              <w:pStyle w:val="181"/>
              <w:rPr>
                <w:rFonts w:ascii="Times New Roman"/>
              </w:rPr>
            </w:pPr>
            <w:r>
              <w:rPr>
                <w:rFonts w:ascii="Times New Roman"/>
              </w:rPr>
              <w:t>0.000000</w:t>
            </w:r>
          </w:p>
        </w:tc>
        <w:tc>
          <w:tcPr>
            <w:tcW w:w="2921" w:type="dxa"/>
            <w:shd w:val="clear" w:color="auto" w:fill="auto"/>
            <w:vAlign w:val="center"/>
          </w:tcPr>
          <w:p w14:paraId="7C8A40EC">
            <w:pPr>
              <w:pStyle w:val="181"/>
              <w:rPr>
                <w:rFonts w:ascii="Times New Roman"/>
              </w:rPr>
            </w:pPr>
            <w:r>
              <w:rPr>
                <w:rFonts w:ascii="Times New Roman"/>
              </w:rPr>
              <w:t>0.000000</w:t>
            </w:r>
          </w:p>
        </w:tc>
        <w:tc>
          <w:tcPr>
            <w:tcW w:w="2732" w:type="dxa"/>
            <w:shd w:val="clear" w:color="auto" w:fill="auto"/>
            <w:vAlign w:val="center"/>
          </w:tcPr>
          <w:p w14:paraId="2EC8A879">
            <w:pPr>
              <w:pStyle w:val="181"/>
              <w:rPr>
                <w:rFonts w:ascii="Times New Roman"/>
              </w:rPr>
            </w:pPr>
            <w:r>
              <w:rPr>
                <w:rFonts w:ascii="Times New Roman"/>
              </w:rPr>
              <w:t>0.000740</w:t>
            </w:r>
          </w:p>
        </w:tc>
      </w:tr>
      <w:tr w14:paraId="388F638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23" w:hRule="atLeast"/>
          <w:jc w:val="center"/>
        </w:trPr>
        <w:tc>
          <w:tcPr>
            <w:tcW w:w="999" w:type="dxa"/>
            <w:shd w:val="clear" w:color="auto" w:fill="auto"/>
            <w:vAlign w:val="center"/>
          </w:tcPr>
          <w:p w14:paraId="28FF2D53">
            <w:pPr>
              <w:pStyle w:val="181"/>
              <w:rPr>
                <w:rFonts w:ascii="Times New Roman"/>
              </w:rPr>
            </w:pPr>
            <w:r>
              <w:rPr>
                <w:rFonts w:ascii="Times New Roman"/>
              </w:rPr>
              <w:t>730</w:t>
            </w:r>
          </w:p>
        </w:tc>
        <w:tc>
          <w:tcPr>
            <w:tcW w:w="2682" w:type="dxa"/>
            <w:shd w:val="clear" w:color="auto" w:fill="auto"/>
            <w:vAlign w:val="center"/>
          </w:tcPr>
          <w:p w14:paraId="73BBAE22">
            <w:pPr>
              <w:pStyle w:val="181"/>
              <w:rPr>
                <w:rFonts w:ascii="Times New Roman"/>
              </w:rPr>
            </w:pPr>
            <w:r>
              <w:rPr>
                <w:rFonts w:ascii="Times New Roman"/>
              </w:rPr>
              <w:t>0.000000</w:t>
            </w:r>
          </w:p>
        </w:tc>
        <w:tc>
          <w:tcPr>
            <w:tcW w:w="2921" w:type="dxa"/>
            <w:shd w:val="clear" w:color="auto" w:fill="auto"/>
            <w:vAlign w:val="center"/>
          </w:tcPr>
          <w:p w14:paraId="4536E3B4">
            <w:pPr>
              <w:pStyle w:val="181"/>
              <w:rPr>
                <w:rFonts w:ascii="Times New Roman"/>
              </w:rPr>
            </w:pPr>
            <w:r>
              <w:rPr>
                <w:rFonts w:ascii="Times New Roman"/>
              </w:rPr>
              <w:t>0.000000</w:t>
            </w:r>
          </w:p>
        </w:tc>
        <w:tc>
          <w:tcPr>
            <w:tcW w:w="2732" w:type="dxa"/>
            <w:shd w:val="clear" w:color="auto" w:fill="auto"/>
            <w:vAlign w:val="center"/>
          </w:tcPr>
          <w:p w14:paraId="07CD4B7B">
            <w:pPr>
              <w:pStyle w:val="181"/>
              <w:rPr>
                <w:rFonts w:ascii="Times New Roman"/>
              </w:rPr>
            </w:pPr>
            <w:r>
              <w:rPr>
                <w:rFonts w:ascii="Times New Roman"/>
              </w:rPr>
              <w:t>0.000520</w:t>
            </w:r>
          </w:p>
        </w:tc>
      </w:tr>
      <w:tr w14:paraId="36AA2C6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23" w:hRule="atLeast"/>
          <w:jc w:val="center"/>
        </w:trPr>
        <w:tc>
          <w:tcPr>
            <w:tcW w:w="999" w:type="dxa"/>
            <w:shd w:val="clear" w:color="auto" w:fill="auto"/>
            <w:vAlign w:val="center"/>
          </w:tcPr>
          <w:p w14:paraId="1C3E93F0">
            <w:pPr>
              <w:pStyle w:val="181"/>
              <w:rPr>
                <w:rFonts w:ascii="Times New Roman"/>
              </w:rPr>
            </w:pPr>
            <w:r>
              <w:rPr>
                <w:rFonts w:ascii="Times New Roman"/>
              </w:rPr>
              <w:t>735</w:t>
            </w:r>
          </w:p>
        </w:tc>
        <w:tc>
          <w:tcPr>
            <w:tcW w:w="2682" w:type="dxa"/>
            <w:shd w:val="clear" w:color="auto" w:fill="auto"/>
            <w:vAlign w:val="center"/>
          </w:tcPr>
          <w:p w14:paraId="5C6BB814">
            <w:pPr>
              <w:pStyle w:val="181"/>
              <w:rPr>
                <w:rFonts w:ascii="Times New Roman"/>
              </w:rPr>
            </w:pPr>
            <w:r>
              <w:rPr>
                <w:rFonts w:ascii="Times New Roman"/>
              </w:rPr>
              <w:t>0.000000</w:t>
            </w:r>
          </w:p>
        </w:tc>
        <w:tc>
          <w:tcPr>
            <w:tcW w:w="2921" w:type="dxa"/>
            <w:shd w:val="clear" w:color="auto" w:fill="auto"/>
            <w:vAlign w:val="center"/>
          </w:tcPr>
          <w:p w14:paraId="7D502C12">
            <w:pPr>
              <w:pStyle w:val="181"/>
              <w:rPr>
                <w:rFonts w:ascii="Times New Roman"/>
              </w:rPr>
            </w:pPr>
            <w:r>
              <w:rPr>
                <w:rFonts w:ascii="Times New Roman"/>
              </w:rPr>
              <w:t>0.000000</w:t>
            </w:r>
          </w:p>
        </w:tc>
        <w:tc>
          <w:tcPr>
            <w:tcW w:w="2732" w:type="dxa"/>
            <w:shd w:val="clear" w:color="auto" w:fill="auto"/>
            <w:vAlign w:val="center"/>
          </w:tcPr>
          <w:p w14:paraId="709E1FF9">
            <w:pPr>
              <w:pStyle w:val="181"/>
              <w:rPr>
                <w:rFonts w:ascii="Times New Roman"/>
              </w:rPr>
            </w:pPr>
            <w:r>
              <w:rPr>
                <w:rFonts w:ascii="Times New Roman"/>
              </w:rPr>
              <w:t>0.000361</w:t>
            </w:r>
          </w:p>
        </w:tc>
      </w:tr>
      <w:tr w14:paraId="785EA2C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23" w:hRule="atLeast"/>
          <w:jc w:val="center"/>
        </w:trPr>
        <w:tc>
          <w:tcPr>
            <w:tcW w:w="999" w:type="dxa"/>
            <w:shd w:val="clear" w:color="auto" w:fill="auto"/>
            <w:vAlign w:val="center"/>
          </w:tcPr>
          <w:p w14:paraId="7FBB0ACE">
            <w:pPr>
              <w:pStyle w:val="181"/>
              <w:rPr>
                <w:rFonts w:ascii="Times New Roman"/>
              </w:rPr>
            </w:pPr>
            <w:r>
              <w:rPr>
                <w:rFonts w:ascii="Times New Roman"/>
              </w:rPr>
              <w:t>740</w:t>
            </w:r>
          </w:p>
        </w:tc>
        <w:tc>
          <w:tcPr>
            <w:tcW w:w="2682" w:type="dxa"/>
            <w:shd w:val="clear" w:color="auto" w:fill="auto"/>
            <w:vAlign w:val="center"/>
          </w:tcPr>
          <w:p w14:paraId="437367AC">
            <w:pPr>
              <w:pStyle w:val="181"/>
              <w:rPr>
                <w:rFonts w:ascii="Times New Roman"/>
              </w:rPr>
            </w:pPr>
            <w:r>
              <w:rPr>
                <w:rFonts w:ascii="Times New Roman"/>
              </w:rPr>
              <w:t>0.000000</w:t>
            </w:r>
          </w:p>
        </w:tc>
        <w:tc>
          <w:tcPr>
            <w:tcW w:w="2921" w:type="dxa"/>
            <w:shd w:val="clear" w:color="auto" w:fill="auto"/>
            <w:vAlign w:val="center"/>
          </w:tcPr>
          <w:p w14:paraId="1D4C18B0">
            <w:pPr>
              <w:pStyle w:val="181"/>
              <w:rPr>
                <w:rFonts w:ascii="Times New Roman"/>
              </w:rPr>
            </w:pPr>
            <w:r>
              <w:rPr>
                <w:rFonts w:ascii="Times New Roman"/>
              </w:rPr>
              <w:t>0.000000</w:t>
            </w:r>
          </w:p>
        </w:tc>
        <w:tc>
          <w:tcPr>
            <w:tcW w:w="2732" w:type="dxa"/>
            <w:shd w:val="clear" w:color="auto" w:fill="auto"/>
            <w:vAlign w:val="center"/>
          </w:tcPr>
          <w:p w14:paraId="5D0F53AB">
            <w:pPr>
              <w:pStyle w:val="181"/>
              <w:rPr>
                <w:rFonts w:ascii="Times New Roman"/>
              </w:rPr>
            </w:pPr>
            <w:r>
              <w:rPr>
                <w:rFonts w:ascii="Times New Roman"/>
              </w:rPr>
              <w:t>0.000249</w:t>
            </w:r>
          </w:p>
        </w:tc>
      </w:tr>
      <w:tr w14:paraId="7F37785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23" w:hRule="atLeast"/>
          <w:jc w:val="center"/>
        </w:trPr>
        <w:tc>
          <w:tcPr>
            <w:tcW w:w="999" w:type="dxa"/>
            <w:shd w:val="clear" w:color="auto" w:fill="auto"/>
            <w:vAlign w:val="center"/>
          </w:tcPr>
          <w:p w14:paraId="36399B25">
            <w:pPr>
              <w:pStyle w:val="181"/>
              <w:rPr>
                <w:rFonts w:ascii="Times New Roman"/>
              </w:rPr>
            </w:pPr>
            <w:r>
              <w:rPr>
                <w:rFonts w:ascii="Times New Roman"/>
              </w:rPr>
              <w:t>745</w:t>
            </w:r>
          </w:p>
        </w:tc>
        <w:tc>
          <w:tcPr>
            <w:tcW w:w="2682" w:type="dxa"/>
            <w:shd w:val="clear" w:color="auto" w:fill="auto"/>
            <w:vAlign w:val="center"/>
          </w:tcPr>
          <w:p w14:paraId="33596EF9">
            <w:pPr>
              <w:pStyle w:val="181"/>
              <w:rPr>
                <w:rFonts w:ascii="Times New Roman"/>
              </w:rPr>
            </w:pPr>
            <w:r>
              <w:rPr>
                <w:rFonts w:ascii="Times New Roman"/>
              </w:rPr>
              <w:t>0.000000</w:t>
            </w:r>
          </w:p>
        </w:tc>
        <w:tc>
          <w:tcPr>
            <w:tcW w:w="2921" w:type="dxa"/>
            <w:shd w:val="clear" w:color="auto" w:fill="auto"/>
            <w:vAlign w:val="center"/>
          </w:tcPr>
          <w:p w14:paraId="3B0DE10F">
            <w:pPr>
              <w:pStyle w:val="181"/>
              <w:rPr>
                <w:rFonts w:ascii="Times New Roman"/>
              </w:rPr>
            </w:pPr>
            <w:r>
              <w:rPr>
                <w:rFonts w:ascii="Times New Roman"/>
              </w:rPr>
              <w:t>0.000000</w:t>
            </w:r>
          </w:p>
        </w:tc>
        <w:tc>
          <w:tcPr>
            <w:tcW w:w="2732" w:type="dxa"/>
            <w:shd w:val="clear" w:color="auto" w:fill="auto"/>
            <w:vAlign w:val="center"/>
          </w:tcPr>
          <w:p w14:paraId="15803146">
            <w:pPr>
              <w:pStyle w:val="181"/>
              <w:rPr>
                <w:rFonts w:ascii="Times New Roman"/>
              </w:rPr>
            </w:pPr>
            <w:r>
              <w:rPr>
                <w:rFonts w:ascii="Times New Roman"/>
              </w:rPr>
              <w:t>0.000172</w:t>
            </w:r>
          </w:p>
        </w:tc>
      </w:tr>
      <w:tr w14:paraId="44EA7FA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23" w:hRule="atLeast"/>
          <w:jc w:val="center"/>
        </w:trPr>
        <w:tc>
          <w:tcPr>
            <w:tcW w:w="999" w:type="dxa"/>
            <w:shd w:val="clear" w:color="auto" w:fill="auto"/>
            <w:vAlign w:val="center"/>
          </w:tcPr>
          <w:p w14:paraId="7FA4BDD3">
            <w:pPr>
              <w:pStyle w:val="181"/>
              <w:rPr>
                <w:rFonts w:ascii="Times New Roman"/>
              </w:rPr>
            </w:pPr>
            <w:r>
              <w:rPr>
                <w:rFonts w:ascii="Times New Roman"/>
              </w:rPr>
              <w:t>750</w:t>
            </w:r>
          </w:p>
        </w:tc>
        <w:tc>
          <w:tcPr>
            <w:tcW w:w="2682" w:type="dxa"/>
            <w:shd w:val="clear" w:color="auto" w:fill="auto"/>
            <w:vAlign w:val="center"/>
          </w:tcPr>
          <w:p w14:paraId="4656B994">
            <w:pPr>
              <w:pStyle w:val="181"/>
              <w:rPr>
                <w:rFonts w:ascii="Times New Roman"/>
              </w:rPr>
            </w:pPr>
            <w:r>
              <w:rPr>
                <w:rFonts w:ascii="Times New Roman"/>
              </w:rPr>
              <w:t>0.000000</w:t>
            </w:r>
          </w:p>
        </w:tc>
        <w:tc>
          <w:tcPr>
            <w:tcW w:w="2921" w:type="dxa"/>
            <w:shd w:val="clear" w:color="auto" w:fill="auto"/>
            <w:vAlign w:val="center"/>
          </w:tcPr>
          <w:p w14:paraId="230CD532">
            <w:pPr>
              <w:pStyle w:val="181"/>
              <w:rPr>
                <w:rFonts w:ascii="Times New Roman"/>
              </w:rPr>
            </w:pPr>
            <w:r>
              <w:rPr>
                <w:rFonts w:ascii="Times New Roman"/>
              </w:rPr>
              <w:t>0.000000</w:t>
            </w:r>
          </w:p>
        </w:tc>
        <w:tc>
          <w:tcPr>
            <w:tcW w:w="2732" w:type="dxa"/>
            <w:shd w:val="clear" w:color="auto" w:fill="auto"/>
            <w:vAlign w:val="center"/>
          </w:tcPr>
          <w:p w14:paraId="7D5A41A4">
            <w:pPr>
              <w:pStyle w:val="181"/>
              <w:rPr>
                <w:rFonts w:ascii="Times New Roman"/>
              </w:rPr>
            </w:pPr>
            <w:r>
              <w:rPr>
                <w:rFonts w:ascii="Times New Roman"/>
              </w:rPr>
              <w:t>0.000120</w:t>
            </w:r>
          </w:p>
        </w:tc>
      </w:tr>
      <w:tr w14:paraId="7DD769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23" w:hRule="atLeast"/>
          <w:jc w:val="center"/>
        </w:trPr>
        <w:tc>
          <w:tcPr>
            <w:tcW w:w="999" w:type="dxa"/>
            <w:shd w:val="clear" w:color="auto" w:fill="auto"/>
            <w:vAlign w:val="center"/>
          </w:tcPr>
          <w:p w14:paraId="769EBF95">
            <w:pPr>
              <w:pStyle w:val="181"/>
              <w:rPr>
                <w:rFonts w:ascii="Times New Roman"/>
              </w:rPr>
            </w:pPr>
            <w:r>
              <w:rPr>
                <w:rFonts w:ascii="Times New Roman"/>
              </w:rPr>
              <w:t>755</w:t>
            </w:r>
          </w:p>
        </w:tc>
        <w:tc>
          <w:tcPr>
            <w:tcW w:w="2682" w:type="dxa"/>
            <w:shd w:val="clear" w:color="auto" w:fill="auto"/>
            <w:vAlign w:val="center"/>
          </w:tcPr>
          <w:p w14:paraId="328B27A0">
            <w:pPr>
              <w:pStyle w:val="181"/>
              <w:rPr>
                <w:rFonts w:ascii="Times New Roman"/>
              </w:rPr>
            </w:pPr>
            <w:r>
              <w:rPr>
                <w:rFonts w:ascii="Times New Roman"/>
              </w:rPr>
              <w:t>0.000000</w:t>
            </w:r>
          </w:p>
        </w:tc>
        <w:tc>
          <w:tcPr>
            <w:tcW w:w="2921" w:type="dxa"/>
            <w:shd w:val="clear" w:color="auto" w:fill="auto"/>
            <w:vAlign w:val="center"/>
          </w:tcPr>
          <w:p w14:paraId="6944AB03">
            <w:pPr>
              <w:pStyle w:val="181"/>
              <w:rPr>
                <w:rFonts w:ascii="Times New Roman"/>
              </w:rPr>
            </w:pPr>
            <w:r>
              <w:rPr>
                <w:rFonts w:ascii="Times New Roman"/>
              </w:rPr>
              <w:t>0.000000</w:t>
            </w:r>
          </w:p>
        </w:tc>
        <w:tc>
          <w:tcPr>
            <w:tcW w:w="2732" w:type="dxa"/>
            <w:shd w:val="clear" w:color="auto" w:fill="auto"/>
            <w:vAlign w:val="center"/>
          </w:tcPr>
          <w:p w14:paraId="1CB84BE6">
            <w:pPr>
              <w:pStyle w:val="181"/>
              <w:rPr>
                <w:rFonts w:ascii="Times New Roman"/>
              </w:rPr>
            </w:pPr>
            <w:r>
              <w:rPr>
                <w:rFonts w:ascii="Times New Roman"/>
              </w:rPr>
              <w:t>0.000085</w:t>
            </w:r>
          </w:p>
        </w:tc>
      </w:tr>
      <w:tr w14:paraId="51F43F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23" w:hRule="atLeast"/>
          <w:jc w:val="center"/>
        </w:trPr>
        <w:tc>
          <w:tcPr>
            <w:tcW w:w="999" w:type="dxa"/>
            <w:shd w:val="clear" w:color="auto" w:fill="auto"/>
            <w:vAlign w:val="center"/>
          </w:tcPr>
          <w:p w14:paraId="142A4536">
            <w:pPr>
              <w:pStyle w:val="181"/>
              <w:rPr>
                <w:rFonts w:ascii="Times New Roman"/>
              </w:rPr>
            </w:pPr>
            <w:r>
              <w:rPr>
                <w:rFonts w:ascii="Times New Roman"/>
              </w:rPr>
              <w:t>760</w:t>
            </w:r>
          </w:p>
        </w:tc>
        <w:tc>
          <w:tcPr>
            <w:tcW w:w="2682" w:type="dxa"/>
            <w:shd w:val="clear" w:color="auto" w:fill="auto"/>
            <w:vAlign w:val="center"/>
          </w:tcPr>
          <w:p w14:paraId="3AB0E823">
            <w:pPr>
              <w:pStyle w:val="181"/>
              <w:rPr>
                <w:rFonts w:ascii="Times New Roman"/>
              </w:rPr>
            </w:pPr>
            <w:r>
              <w:rPr>
                <w:rFonts w:ascii="Times New Roman"/>
              </w:rPr>
              <w:t>0.000000</w:t>
            </w:r>
          </w:p>
        </w:tc>
        <w:tc>
          <w:tcPr>
            <w:tcW w:w="2921" w:type="dxa"/>
            <w:shd w:val="clear" w:color="auto" w:fill="auto"/>
            <w:vAlign w:val="center"/>
          </w:tcPr>
          <w:p w14:paraId="49EF9D7B">
            <w:pPr>
              <w:pStyle w:val="181"/>
              <w:rPr>
                <w:rFonts w:ascii="Times New Roman"/>
              </w:rPr>
            </w:pPr>
            <w:r>
              <w:rPr>
                <w:rFonts w:ascii="Times New Roman"/>
              </w:rPr>
              <w:t>0.000000</w:t>
            </w:r>
          </w:p>
        </w:tc>
        <w:tc>
          <w:tcPr>
            <w:tcW w:w="2732" w:type="dxa"/>
            <w:shd w:val="clear" w:color="auto" w:fill="auto"/>
            <w:vAlign w:val="center"/>
          </w:tcPr>
          <w:p w14:paraId="00E18B30">
            <w:pPr>
              <w:pStyle w:val="181"/>
              <w:rPr>
                <w:rFonts w:ascii="Times New Roman"/>
              </w:rPr>
            </w:pPr>
            <w:r>
              <w:rPr>
                <w:rFonts w:ascii="Times New Roman"/>
              </w:rPr>
              <w:t>0.000060</w:t>
            </w:r>
          </w:p>
        </w:tc>
      </w:tr>
      <w:tr w14:paraId="60D3194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23" w:hRule="atLeast"/>
          <w:jc w:val="center"/>
        </w:trPr>
        <w:tc>
          <w:tcPr>
            <w:tcW w:w="999" w:type="dxa"/>
            <w:shd w:val="clear" w:color="auto" w:fill="auto"/>
            <w:vAlign w:val="center"/>
          </w:tcPr>
          <w:p w14:paraId="053D9E9E">
            <w:pPr>
              <w:pStyle w:val="181"/>
              <w:rPr>
                <w:rFonts w:ascii="Times New Roman"/>
              </w:rPr>
            </w:pPr>
            <w:r>
              <w:rPr>
                <w:rFonts w:ascii="Times New Roman"/>
              </w:rPr>
              <w:t>765</w:t>
            </w:r>
          </w:p>
        </w:tc>
        <w:tc>
          <w:tcPr>
            <w:tcW w:w="2682" w:type="dxa"/>
            <w:shd w:val="clear" w:color="auto" w:fill="auto"/>
            <w:vAlign w:val="center"/>
          </w:tcPr>
          <w:p w14:paraId="0F83BAB0">
            <w:pPr>
              <w:pStyle w:val="181"/>
              <w:rPr>
                <w:rFonts w:ascii="Times New Roman"/>
              </w:rPr>
            </w:pPr>
            <w:r>
              <w:rPr>
                <w:rFonts w:ascii="Times New Roman"/>
              </w:rPr>
              <w:t>0.000000</w:t>
            </w:r>
          </w:p>
        </w:tc>
        <w:tc>
          <w:tcPr>
            <w:tcW w:w="2921" w:type="dxa"/>
            <w:shd w:val="clear" w:color="auto" w:fill="auto"/>
            <w:vAlign w:val="center"/>
          </w:tcPr>
          <w:p w14:paraId="78829B8C">
            <w:pPr>
              <w:pStyle w:val="181"/>
              <w:rPr>
                <w:rFonts w:ascii="Times New Roman"/>
              </w:rPr>
            </w:pPr>
            <w:r>
              <w:rPr>
                <w:rFonts w:ascii="Times New Roman"/>
              </w:rPr>
              <w:t>0.000000</w:t>
            </w:r>
          </w:p>
        </w:tc>
        <w:tc>
          <w:tcPr>
            <w:tcW w:w="2732" w:type="dxa"/>
            <w:shd w:val="clear" w:color="auto" w:fill="auto"/>
            <w:vAlign w:val="center"/>
          </w:tcPr>
          <w:p w14:paraId="4012A2AF">
            <w:pPr>
              <w:pStyle w:val="181"/>
              <w:rPr>
                <w:rFonts w:ascii="Times New Roman"/>
              </w:rPr>
            </w:pPr>
            <w:r>
              <w:rPr>
                <w:rFonts w:ascii="Times New Roman"/>
              </w:rPr>
              <w:t>0.000042</w:t>
            </w:r>
          </w:p>
        </w:tc>
      </w:tr>
      <w:tr w14:paraId="2B66AEA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23" w:hRule="atLeast"/>
          <w:jc w:val="center"/>
        </w:trPr>
        <w:tc>
          <w:tcPr>
            <w:tcW w:w="999" w:type="dxa"/>
            <w:shd w:val="clear" w:color="auto" w:fill="auto"/>
            <w:vAlign w:val="center"/>
          </w:tcPr>
          <w:p w14:paraId="044815B8">
            <w:pPr>
              <w:pStyle w:val="181"/>
              <w:rPr>
                <w:rFonts w:ascii="Times New Roman"/>
              </w:rPr>
            </w:pPr>
            <w:r>
              <w:rPr>
                <w:rFonts w:ascii="Times New Roman"/>
              </w:rPr>
              <w:t>770</w:t>
            </w:r>
          </w:p>
        </w:tc>
        <w:tc>
          <w:tcPr>
            <w:tcW w:w="2682" w:type="dxa"/>
            <w:shd w:val="clear" w:color="auto" w:fill="auto"/>
            <w:vAlign w:val="center"/>
          </w:tcPr>
          <w:p w14:paraId="36A3A862">
            <w:pPr>
              <w:pStyle w:val="181"/>
              <w:rPr>
                <w:rFonts w:ascii="Times New Roman"/>
              </w:rPr>
            </w:pPr>
            <w:r>
              <w:rPr>
                <w:rFonts w:ascii="Times New Roman"/>
              </w:rPr>
              <w:t>0.000000</w:t>
            </w:r>
          </w:p>
        </w:tc>
        <w:tc>
          <w:tcPr>
            <w:tcW w:w="2921" w:type="dxa"/>
            <w:shd w:val="clear" w:color="auto" w:fill="auto"/>
            <w:vAlign w:val="center"/>
          </w:tcPr>
          <w:p w14:paraId="4E1987F1">
            <w:pPr>
              <w:pStyle w:val="181"/>
              <w:rPr>
                <w:rFonts w:ascii="Times New Roman"/>
              </w:rPr>
            </w:pPr>
            <w:r>
              <w:rPr>
                <w:rFonts w:ascii="Times New Roman"/>
              </w:rPr>
              <w:t>0.000000</w:t>
            </w:r>
          </w:p>
        </w:tc>
        <w:tc>
          <w:tcPr>
            <w:tcW w:w="2732" w:type="dxa"/>
            <w:shd w:val="clear" w:color="auto" w:fill="auto"/>
            <w:vAlign w:val="center"/>
          </w:tcPr>
          <w:p w14:paraId="20BA4CAB">
            <w:pPr>
              <w:pStyle w:val="181"/>
              <w:rPr>
                <w:rFonts w:ascii="Times New Roman"/>
              </w:rPr>
            </w:pPr>
            <w:r>
              <w:rPr>
                <w:rFonts w:ascii="Times New Roman"/>
              </w:rPr>
              <w:t>0.000030</w:t>
            </w:r>
          </w:p>
        </w:tc>
      </w:tr>
      <w:tr w14:paraId="6BA3406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23" w:hRule="atLeast"/>
          <w:jc w:val="center"/>
        </w:trPr>
        <w:tc>
          <w:tcPr>
            <w:tcW w:w="999" w:type="dxa"/>
            <w:shd w:val="clear" w:color="auto" w:fill="auto"/>
            <w:vAlign w:val="center"/>
          </w:tcPr>
          <w:p w14:paraId="737F43DA">
            <w:pPr>
              <w:pStyle w:val="181"/>
              <w:rPr>
                <w:rFonts w:ascii="Times New Roman"/>
              </w:rPr>
            </w:pPr>
            <w:r>
              <w:rPr>
                <w:rFonts w:ascii="Times New Roman"/>
              </w:rPr>
              <w:t>775</w:t>
            </w:r>
          </w:p>
        </w:tc>
        <w:tc>
          <w:tcPr>
            <w:tcW w:w="2682" w:type="dxa"/>
            <w:shd w:val="clear" w:color="auto" w:fill="auto"/>
            <w:vAlign w:val="center"/>
          </w:tcPr>
          <w:p w14:paraId="74A622FC">
            <w:pPr>
              <w:pStyle w:val="181"/>
              <w:rPr>
                <w:rFonts w:ascii="Times New Roman"/>
              </w:rPr>
            </w:pPr>
            <w:r>
              <w:rPr>
                <w:rFonts w:ascii="Times New Roman"/>
              </w:rPr>
              <w:t>0.000000</w:t>
            </w:r>
          </w:p>
        </w:tc>
        <w:tc>
          <w:tcPr>
            <w:tcW w:w="2921" w:type="dxa"/>
            <w:shd w:val="clear" w:color="auto" w:fill="auto"/>
            <w:vAlign w:val="center"/>
          </w:tcPr>
          <w:p w14:paraId="641B8458">
            <w:pPr>
              <w:pStyle w:val="181"/>
              <w:rPr>
                <w:rFonts w:ascii="Times New Roman"/>
              </w:rPr>
            </w:pPr>
            <w:r>
              <w:rPr>
                <w:rFonts w:ascii="Times New Roman"/>
              </w:rPr>
              <w:t>0.000000</w:t>
            </w:r>
          </w:p>
        </w:tc>
        <w:tc>
          <w:tcPr>
            <w:tcW w:w="2732" w:type="dxa"/>
            <w:shd w:val="clear" w:color="auto" w:fill="auto"/>
            <w:vAlign w:val="center"/>
          </w:tcPr>
          <w:p w14:paraId="69CAD698">
            <w:pPr>
              <w:pStyle w:val="181"/>
              <w:rPr>
                <w:rFonts w:ascii="Times New Roman"/>
              </w:rPr>
            </w:pPr>
            <w:r>
              <w:rPr>
                <w:rFonts w:ascii="Times New Roman"/>
              </w:rPr>
              <w:t>0.000021</w:t>
            </w:r>
          </w:p>
        </w:tc>
      </w:tr>
      <w:tr w14:paraId="58CD8F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23" w:hRule="atLeast"/>
          <w:jc w:val="center"/>
        </w:trPr>
        <w:tc>
          <w:tcPr>
            <w:tcW w:w="999" w:type="dxa"/>
            <w:shd w:val="clear" w:color="auto" w:fill="auto"/>
            <w:vAlign w:val="center"/>
          </w:tcPr>
          <w:p w14:paraId="22935395">
            <w:pPr>
              <w:pStyle w:val="181"/>
              <w:rPr>
                <w:rFonts w:ascii="Times New Roman"/>
              </w:rPr>
            </w:pPr>
            <w:r>
              <w:rPr>
                <w:rFonts w:ascii="Times New Roman"/>
              </w:rPr>
              <w:t>780</w:t>
            </w:r>
          </w:p>
        </w:tc>
        <w:tc>
          <w:tcPr>
            <w:tcW w:w="2682" w:type="dxa"/>
            <w:shd w:val="clear" w:color="auto" w:fill="auto"/>
            <w:vAlign w:val="center"/>
          </w:tcPr>
          <w:p w14:paraId="066D31EF">
            <w:pPr>
              <w:pStyle w:val="181"/>
              <w:rPr>
                <w:rFonts w:ascii="Times New Roman"/>
              </w:rPr>
            </w:pPr>
            <w:r>
              <w:rPr>
                <w:rFonts w:ascii="Times New Roman"/>
              </w:rPr>
              <w:t>0.000000</w:t>
            </w:r>
          </w:p>
        </w:tc>
        <w:tc>
          <w:tcPr>
            <w:tcW w:w="2921" w:type="dxa"/>
            <w:shd w:val="clear" w:color="auto" w:fill="auto"/>
            <w:vAlign w:val="center"/>
          </w:tcPr>
          <w:p w14:paraId="60998A29">
            <w:pPr>
              <w:pStyle w:val="181"/>
              <w:rPr>
                <w:rFonts w:ascii="Times New Roman"/>
              </w:rPr>
            </w:pPr>
            <w:r>
              <w:rPr>
                <w:rFonts w:ascii="Times New Roman"/>
              </w:rPr>
              <w:t>0.000000</w:t>
            </w:r>
          </w:p>
        </w:tc>
        <w:tc>
          <w:tcPr>
            <w:tcW w:w="2732" w:type="dxa"/>
            <w:shd w:val="clear" w:color="auto" w:fill="auto"/>
            <w:vAlign w:val="center"/>
          </w:tcPr>
          <w:p w14:paraId="4717E0FB">
            <w:pPr>
              <w:pStyle w:val="181"/>
              <w:rPr>
                <w:rFonts w:ascii="Times New Roman"/>
              </w:rPr>
            </w:pPr>
            <w:r>
              <w:rPr>
                <w:rFonts w:ascii="Times New Roman"/>
              </w:rPr>
              <w:t>0.000015</w:t>
            </w:r>
          </w:p>
        </w:tc>
      </w:tr>
    </w:tbl>
    <w:p w14:paraId="7EAD50C9">
      <w:pPr>
        <w:pStyle w:val="81"/>
        <w:numPr>
          <w:ilvl w:val="1"/>
          <w:numId w:val="0"/>
        </w:numPr>
        <w:spacing w:before="120" w:after="120"/>
      </w:pPr>
      <w:bookmarkStart w:id="233" w:name="_Toc2009"/>
      <w:bookmarkStart w:id="234" w:name="_Toc156198525"/>
      <w:r>
        <w:rPr>
          <w:rFonts w:hint="eastAsia"/>
        </w:rPr>
        <w:t>C.5　</w:t>
      </w:r>
      <w:r>
        <w:rPr>
          <w:rFonts w:ascii="Times New Roman"/>
        </w:rPr>
        <w:t>Robert J. Lucas团队基于excel表格的EML数值计算器</w:t>
      </w:r>
      <w:bookmarkEnd w:id="233"/>
      <w:bookmarkEnd w:id="234"/>
    </w:p>
    <w:p w14:paraId="4CCB05D5">
      <w:pPr>
        <w:pStyle w:val="59"/>
        <w:ind w:firstLine="420"/>
        <w:rPr>
          <w:rFonts w:ascii="Times New Roman"/>
          <w:szCs w:val="21"/>
        </w:rPr>
      </w:pPr>
      <w:r>
        <w:rPr>
          <w:rFonts w:ascii="Times New Roman"/>
          <w:szCs w:val="21"/>
        </w:rPr>
        <w:t>EML数值也可通过Robert J. Lucas团队提供的excel计算器进行计算。将单位面积光谱功率密度分布数据导入excel计算器，在“5）Human retinal photopigment complement (all weighed)”一栏中“Melanopsin”所对应的α-opic lux值即为输出的视黑素等效勒克斯EML的数值。</w:t>
      </w:r>
    </w:p>
    <w:p w14:paraId="28D6227E">
      <w:pPr>
        <w:pStyle w:val="59"/>
        <w:ind w:firstLine="420"/>
        <w:rPr>
          <w:rFonts w:ascii="Times New Roman"/>
          <w:szCs w:val="21"/>
        </w:rPr>
      </w:pPr>
      <w:r>
        <w:rPr>
          <w:rFonts w:ascii="Times New Roman"/>
          <w:szCs w:val="21"/>
        </w:rPr>
        <w:t>Robert J. Lucas团队提供的excel计算器下载链接如下：</w:t>
      </w:r>
    </w:p>
    <w:p w14:paraId="5B04164B">
      <w:pPr>
        <w:pStyle w:val="59"/>
        <w:ind w:firstLine="420"/>
        <w:rPr>
          <w:rFonts w:ascii="Times New Roman"/>
          <w:color w:val="0000FF"/>
          <w:szCs w:val="24"/>
          <w:u w:val="single"/>
        </w:rPr>
      </w:pPr>
      <w:r>
        <w:fldChar w:fldCharType="begin"/>
      </w:r>
      <w:r>
        <w:instrText xml:space="preserve"> HYPERLINK "http://lucasgroup.lab.manchester.ac.uk/measuringmelanopicilluminance/" </w:instrText>
      </w:r>
      <w:r>
        <w:fldChar w:fldCharType="separate"/>
      </w:r>
      <w:r>
        <w:rPr>
          <w:rStyle w:val="34"/>
          <w:rFonts w:ascii="Times New Roman"/>
          <w:szCs w:val="24"/>
        </w:rPr>
        <w:t>http://lucasgroup.lab.manchester.ac.uk/measuringmelanopicilluminance/</w:t>
      </w:r>
      <w:r>
        <w:rPr>
          <w:rStyle w:val="34"/>
          <w:rFonts w:ascii="Times New Roman"/>
          <w:szCs w:val="24"/>
        </w:rPr>
        <w:fldChar w:fldCharType="end"/>
      </w:r>
    </w:p>
    <w:p w14:paraId="33BBC8DC">
      <w:pPr>
        <w:pStyle w:val="59"/>
        <w:ind w:firstLine="420"/>
        <w:rPr>
          <w:rFonts w:ascii="Times New Roman"/>
        </w:rPr>
      </w:pPr>
    </w:p>
    <w:p w14:paraId="52896BE7">
      <w:pPr>
        <w:pStyle w:val="59"/>
        <w:ind w:firstLine="420"/>
        <w:rPr>
          <w:rFonts w:ascii="Times New Roman"/>
        </w:rPr>
        <w:sectPr>
          <w:pgSz w:w="11906" w:h="16838"/>
          <w:pgMar w:top="1928" w:right="1134" w:bottom="1134" w:left="1134" w:header="1418" w:footer="1134" w:gutter="284"/>
          <w:cols w:space="425" w:num="1"/>
          <w:formProt w:val="0"/>
          <w:docGrid w:linePitch="312" w:charSpace="0"/>
        </w:sectPr>
      </w:pPr>
    </w:p>
    <w:p w14:paraId="7EB12144">
      <w:pPr>
        <w:pStyle w:val="66"/>
        <w:spacing w:after="120"/>
      </w:pPr>
      <w:bookmarkStart w:id="235" w:name="_Toc167287353"/>
      <w:bookmarkStart w:id="236" w:name="_Toc32237"/>
      <w:r>
        <w:rPr>
          <w:rFonts w:hint="eastAsia"/>
          <w:spacing w:val="105"/>
        </w:rPr>
        <w:t>参考文</w:t>
      </w:r>
      <w:r>
        <w:rPr>
          <w:rFonts w:hint="eastAsia"/>
        </w:rPr>
        <w:t>献</w:t>
      </w:r>
      <w:bookmarkEnd w:id="235"/>
      <w:bookmarkEnd w:id="236"/>
    </w:p>
    <w:p w14:paraId="2DA56118">
      <w:pPr>
        <w:pStyle w:val="59"/>
        <w:ind w:firstLine="420"/>
        <w:rPr>
          <w:rFonts w:ascii="Times New Roman"/>
        </w:rPr>
      </w:pPr>
      <w:r>
        <w:rPr>
          <w:rFonts w:ascii="Times New Roman"/>
        </w:rPr>
        <w:t>[1]  [1]CIE/S 026/E:2018  受光敏视网膜神经节细胞影响的感光反应光辐射测量系统（CIE System for Metrology of Optical Radiation for ipRGC-Influenced Responses to Light）</w:t>
      </w:r>
    </w:p>
    <w:p w14:paraId="1CDFF508">
      <w:pPr>
        <w:pStyle w:val="59"/>
        <w:ind w:firstLine="420"/>
        <w:rPr>
          <w:rFonts w:ascii="Times New Roman"/>
        </w:rPr>
      </w:pPr>
    </w:p>
    <w:p w14:paraId="1B97D703">
      <w:pPr>
        <w:pStyle w:val="59"/>
        <w:ind w:firstLine="0" w:firstLineChars="0"/>
        <w:jc w:val="center"/>
      </w:pPr>
      <w:r>
        <w:rPr>
          <w:rFonts w:hint="eastAsia"/>
        </w:rP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3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09"/>
    </w:p>
    <w:sectPr>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Segoe UI Emoji">
    <w:panose1 w:val="020B0502040204020203"/>
    <w:charset w:val="00"/>
    <w:family w:val="swiss"/>
    <w:pitch w:val="default"/>
    <w:sig w:usb0="00000001" w:usb1="02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0781D0">
    <w:pPr>
      <w:pStyle w:val="18"/>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105B18">
    <w:pPr>
      <w:pStyle w:val="18"/>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38E418">
    <w:pPr>
      <w:pStyle w:val="55"/>
    </w:pPr>
    <w:r>
      <w:fldChar w:fldCharType="begin"/>
    </w:r>
    <w:r>
      <w:instrText xml:space="preserve">PAGE   \* MERGEFORMAT</w:instrText>
    </w:r>
    <w:r>
      <w:fldChar w:fldCharType="separate"/>
    </w:r>
    <w:r>
      <w:rPr>
        <w:lang w:val="zh-CN"/>
      </w:rPr>
      <w:t>1</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3975CB">
    <w:pPr>
      <w:pStyle w:val="54"/>
    </w:pPr>
    <w:r>
      <w:fldChar w:fldCharType="begin"/>
    </w:r>
    <w:r>
      <w:instrText xml:space="preserve"> PAGE   \* MERGEFORMAT \* MERGEFORMAT </w:instrText>
    </w:r>
    <w:r>
      <w:fldChar w:fldCharType="separate"/>
    </w:r>
    <w: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E4BF88">
    <w:pPr>
      <w:pStyle w:val="55"/>
    </w:pPr>
    <w:r>
      <w:fldChar w:fldCharType="begin"/>
    </w:r>
    <w:r>
      <w:instrText xml:space="preserve">PAGE   \* MERGEFORMAT</w:instrText>
    </w:r>
    <w:r>
      <w:fldChar w:fldCharType="separate"/>
    </w:r>
    <w:r>
      <w:rPr>
        <w:lang w:val="zh-CN"/>
      </w:rPr>
      <w:t>1</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DC068F">
    <w:pPr>
      <w:pStyle w:val="54"/>
    </w:pPr>
    <w:r>
      <w:fldChar w:fldCharType="begin"/>
    </w:r>
    <w:r>
      <w:instrText xml:space="preserve"> PAGE   \* MERGEFORMAT \* MERGEFORMAT </w:instrText>
    </w:r>
    <w:r>
      <w:fldChar w:fldCharType="separate"/>
    </w:r>
    <w: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84A62B">
    <w:pPr>
      <w:pStyle w:val="55"/>
    </w:pPr>
    <w:r>
      <w:fldChar w:fldCharType="begin"/>
    </w:r>
    <w:r>
      <w:instrText xml:space="preserve">PAGE   \* MERGEFORMAT</w:instrText>
    </w:r>
    <w:r>
      <w:fldChar w:fldCharType="separate"/>
    </w:r>
    <w:r>
      <w:rPr>
        <w:lang w:val="zh-CN"/>
      </w:rPr>
      <w:t>1</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CDC49A">
    <w:pPr>
      <w:pStyle w:val="54"/>
    </w:pPr>
    <w:r>
      <w:fldChar w:fldCharType="begin"/>
    </w:r>
    <w:r>
      <w:instrText xml:space="preserve"> PAGE   \* MERGEFORMAT \* MERGEFORMAT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8C31E8">
    <w:pPr>
      <w:pStyle w:val="19"/>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6F3690">
    <w:pPr>
      <w:pStyle w:val="19"/>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D29D24">
    <w:pPr>
      <w:pStyle w:val="64"/>
      <w:rPr>
        <w:rFonts w:hint="eastAsia"/>
      </w:rPr>
    </w:pPr>
    <w:r>
      <w:fldChar w:fldCharType="begin"/>
    </w:r>
    <w:r>
      <w:instrText xml:space="preserve"> STYLEREF  标准文件_文件编号  \* MERGEFORMAT </w:instrText>
    </w:r>
    <w:r>
      <w:fldChar w:fldCharType="separate"/>
    </w:r>
    <w:r>
      <w:t xml:space="preserve">T/GIES 022—2024 </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0F56E2">
    <w:pPr>
      <w:pStyle w:val="65"/>
      <w:rPr>
        <w:rFonts w:hint="eastAsia"/>
      </w:rPr>
    </w:pPr>
    <w:r>
      <w:fldChar w:fldCharType="begin"/>
    </w:r>
    <w:r>
      <w:instrText xml:space="preserve"> STYLEREF  标准文件_文件编号 \* MERGEFORMAT </w:instrText>
    </w:r>
    <w:r>
      <w:fldChar w:fldCharType="separate"/>
    </w:r>
    <w:r>
      <w:t xml:space="preserve">T/GIES 022—2024 </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7A71A4">
    <w:pPr>
      <w:pStyle w:val="64"/>
      <w:rPr>
        <w:rFonts w:hint="eastAsia"/>
      </w:rPr>
    </w:pPr>
    <w:r>
      <w:fldChar w:fldCharType="begin"/>
    </w:r>
    <w:r>
      <w:instrText xml:space="preserve"> STYLEREF  标准文件_文件编号  \* MERGEFORMAT </w:instrText>
    </w:r>
    <w:r>
      <w:fldChar w:fldCharType="separate"/>
    </w:r>
    <w:r>
      <w:t xml:space="preserve">T/GIES 022—2024 </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A212D5">
    <w:pPr>
      <w:pStyle w:val="65"/>
      <w:rPr>
        <w:rFonts w:hint="eastAsia"/>
      </w:rPr>
    </w:pPr>
    <w:r>
      <w:fldChar w:fldCharType="begin"/>
    </w:r>
    <w:r>
      <w:instrText xml:space="preserve"> STYLEREF  标准文件_文件编号 \* MERGEFORMAT </w:instrText>
    </w:r>
    <w:r>
      <w:fldChar w:fldCharType="separate"/>
    </w:r>
    <w:r>
      <w:t xml:space="preserve">T/GIES 022—2024 </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9CD53B">
    <w:pPr>
      <w:pStyle w:val="64"/>
      <w:rPr>
        <w:rFonts w:hint="eastAsia"/>
      </w:rPr>
    </w:pPr>
    <w:r>
      <w:fldChar w:fldCharType="begin"/>
    </w:r>
    <w:r>
      <w:instrText xml:space="preserve"> STYLEREF  标准文件_文件编号  \* MERGEFORMAT </w:instrText>
    </w:r>
    <w:r>
      <w:fldChar w:fldCharType="separate"/>
    </w:r>
    <w:r>
      <w:t xml:space="preserve">T/GIES 022—2024 </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54E77C">
    <w:pPr>
      <w:pStyle w:val="65"/>
      <w:rPr>
        <w:rFonts w:hint="eastAsia"/>
      </w:rPr>
    </w:pPr>
    <w:r>
      <w:fldChar w:fldCharType="begin"/>
    </w:r>
    <w:r>
      <w:instrText xml:space="preserve"> STYLEREF  标准文件_文件编号 \* MERGEFORMAT </w:instrText>
    </w:r>
    <w:r>
      <w:fldChar w:fldCharType="separate"/>
    </w:r>
    <w:r>
      <w:t xml:space="preserve">T/GIES 022—2024 </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7"/>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2"/>
      <w:suff w:val="nothing"/>
      <w:lvlText w:val="%1%2.%3　"/>
      <w:lvlJc w:val="left"/>
      <w:pPr>
        <w:ind w:left="0" w:firstLine="0"/>
      </w:pPr>
    </w:lvl>
    <w:lvl w:ilvl="3" w:tentative="0">
      <w:start w:val="1"/>
      <w:numFmt w:val="decimal"/>
      <w:pStyle w:val="121"/>
      <w:suff w:val="nothing"/>
      <w:lvlText w:val="%1%2.%3.%4　"/>
      <w:lvlJc w:val="left"/>
      <w:pPr>
        <w:ind w:left="0" w:firstLine="0"/>
      </w:pPr>
    </w:lvl>
    <w:lvl w:ilvl="4" w:tentative="0">
      <w:start w:val="1"/>
      <w:numFmt w:val="decimal"/>
      <w:pStyle w:val="156"/>
      <w:suff w:val="nothing"/>
      <w:lvlText w:val="%1%2.%3.%4.%5　"/>
      <w:lvlJc w:val="left"/>
      <w:pPr>
        <w:ind w:left="0" w:firstLine="0"/>
      </w:pPr>
    </w:lvl>
    <w:lvl w:ilvl="5" w:tentative="0">
      <w:start w:val="1"/>
      <w:numFmt w:val="decimal"/>
      <w:pStyle w:val="158"/>
      <w:suff w:val="nothing"/>
      <w:lvlText w:val="%1%2.%3.%4.%5.%6　"/>
      <w:lvlJc w:val="left"/>
      <w:pPr>
        <w:ind w:left="0" w:firstLine="0"/>
      </w:pPr>
    </w:lvl>
    <w:lvl w:ilvl="6" w:tentative="0">
      <w:start w:val="1"/>
      <w:numFmt w:val="decimal"/>
      <w:pStyle w:val="161"/>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2"/>
      <w:lvlText w:val="%1"/>
      <w:lvlJc w:val="left"/>
      <w:pPr>
        <w:ind w:left="425" w:hanging="425"/>
      </w:pPr>
      <w:rPr>
        <w:rFonts w:hint="eastAsia"/>
      </w:rPr>
    </w:lvl>
    <w:lvl w:ilvl="1" w:tentative="0">
      <w:start w:val="1"/>
      <w:numFmt w:val="decimal"/>
      <w:pStyle w:val="203"/>
      <w:suff w:val="nothing"/>
      <w:lvlText w:val="%10.%2 "/>
      <w:lvlJc w:val="left"/>
      <w:pPr>
        <w:ind w:left="0" w:firstLine="0"/>
      </w:pPr>
      <w:rPr>
        <w:rFonts w:hint="eastAsia" w:ascii="黑体" w:eastAsia="黑体" w:hAnsiTheme="minorHAnsi"/>
        <w:b w:val="0"/>
        <w:i w:val="0"/>
        <w:sz w:val="21"/>
      </w:rPr>
    </w:lvl>
    <w:lvl w:ilvl="2" w:tentative="0">
      <w:start w:val="1"/>
      <w:numFmt w:val="decimal"/>
      <w:pStyle w:val="204"/>
      <w:suff w:val="nothing"/>
      <w:lvlText w:val="%10.%2.%3 "/>
      <w:lvlJc w:val="left"/>
      <w:pPr>
        <w:ind w:left="0" w:firstLine="0"/>
      </w:pPr>
      <w:rPr>
        <w:rFonts w:hint="eastAsia" w:ascii="黑体" w:eastAsia="黑体" w:hAnsiTheme="minorHAnsi"/>
        <w:b w:val="0"/>
        <w:i w:val="0"/>
        <w:sz w:val="21"/>
      </w:rPr>
    </w:lvl>
    <w:lvl w:ilvl="3" w:tentative="0">
      <w:start w:val="1"/>
      <w:numFmt w:val="decimal"/>
      <w:pStyle w:val="205"/>
      <w:suff w:val="nothing"/>
      <w:lvlText w:val="%10.%2.%3.%4 "/>
      <w:lvlJc w:val="left"/>
      <w:pPr>
        <w:ind w:left="0" w:firstLine="0"/>
      </w:pPr>
      <w:rPr>
        <w:rFonts w:hint="eastAsia" w:ascii="黑体" w:eastAsia="黑体" w:hAnsiTheme="minorHAnsi"/>
        <w:b w:val="0"/>
        <w:i w:val="0"/>
        <w:sz w:val="21"/>
      </w:rPr>
    </w:lvl>
    <w:lvl w:ilvl="4" w:tentative="0">
      <w:start w:val="1"/>
      <w:numFmt w:val="decimal"/>
      <w:pStyle w:val="206"/>
      <w:suff w:val="nothing"/>
      <w:lvlText w:val="%10.%2.%3.%4.%5 "/>
      <w:lvlJc w:val="left"/>
      <w:pPr>
        <w:ind w:left="0" w:firstLine="0"/>
      </w:pPr>
      <w:rPr>
        <w:rFonts w:hint="eastAsia" w:ascii="黑体" w:eastAsia="黑体" w:hAnsiTheme="minorHAnsi"/>
        <w:b w:val="0"/>
        <w:i w:val="0"/>
        <w:sz w:val="21"/>
      </w:rPr>
    </w:lvl>
    <w:lvl w:ilvl="5" w:tentative="0">
      <w:start w:val="1"/>
      <w:numFmt w:val="decimal"/>
      <w:pStyle w:val="20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4"/>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0"/>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3"/>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8"/>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5"/>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32F04FB2"/>
    <w:multiLevelType w:val="multilevel"/>
    <w:tmpl w:val="32F04FB2"/>
    <w:lvl w:ilvl="0" w:tentative="0">
      <w:start w:val="1"/>
      <w:numFmt w:val="lowerLetter"/>
      <w:pStyle w:val="104"/>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1">
    <w:nsid w:val="44C50F90"/>
    <w:multiLevelType w:val="multilevel"/>
    <w:tmpl w:val="44C50F90"/>
    <w:lvl w:ilvl="0" w:tentative="0">
      <w:start w:val="1"/>
      <w:numFmt w:val="lowerLetter"/>
      <w:pStyle w:val="177"/>
      <w:lvlText w:val="%1)"/>
      <w:lvlJc w:val="left"/>
      <w:pPr>
        <w:tabs>
          <w:tab w:val="left" w:pos="851"/>
        </w:tabs>
        <w:ind w:left="851" w:hanging="426"/>
      </w:pPr>
      <w:rPr>
        <w:rFonts w:hint="eastAsia" w:ascii="宋体" w:hAnsi="Times New Roman" w:eastAsia="宋体"/>
        <w:sz w:val="21"/>
      </w:rPr>
    </w:lvl>
    <w:lvl w:ilvl="1" w:tentative="0">
      <w:start w:val="1"/>
      <w:numFmt w:val="decimal"/>
      <w:pStyle w:val="112"/>
      <w:lvlText w:val="%2)"/>
      <w:lvlJc w:val="left"/>
      <w:pPr>
        <w:tabs>
          <w:tab w:val="left" w:pos="1276"/>
        </w:tabs>
        <w:ind w:left="1276" w:hanging="425"/>
      </w:pPr>
      <w:rPr>
        <w:rFonts w:hint="eastAsia" w:ascii="宋体" w:hAnsi="Times New Roman" w:eastAsia="宋体"/>
        <w:sz w:val="21"/>
      </w:rPr>
    </w:lvl>
    <w:lvl w:ilvl="2" w:tentative="0">
      <w:start w:val="1"/>
      <w:numFmt w:val="decimal"/>
      <w:pStyle w:val="120"/>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2">
    <w:nsid w:val="48802D1C"/>
    <w:multiLevelType w:val="multilevel"/>
    <w:tmpl w:val="48802D1C"/>
    <w:lvl w:ilvl="0" w:tentative="0">
      <w:start w:val="1"/>
      <w:numFmt w:val="upperLetter"/>
      <w:pStyle w:val="201"/>
      <w:lvlText w:val="%1"/>
      <w:lvlJc w:val="left"/>
      <w:pPr>
        <w:ind w:left="420" w:hanging="420"/>
      </w:pPr>
      <w:rPr>
        <w:rFonts w:hint="eastAsia"/>
      </w:rPr>
    </w:lvl>
    <w:lvl w:ilvl="1" w:tentative="0">
      <w:start w:val="1"/>
      <w:numFmt w:val="decimal"/>
      <w:pStyle w:val="86"/>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3">
    <w:nsid w:val="4B733A5F"/>
    <w:multiLevelType w:val="multilevel"/>
    <w:tmpl w:val="4B733A5F"/>
    <w:lvl w:ilvl="0" w:tentative="0">
      <w:start w:val="1"/>
      <w:numFmt w:val="decimal"/>
      <w:pStyle w:val="186"/>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4">
    <w:nsid w:val="4E5D0534"/>
    <w:multiLevelType w:val="multilevel"/>
    <w:tmpl w:val="4E5D0534"/>
    <w:lvl w:ilvl="0" w:tentative="0">
      <w:start w:val="1"/>
      <w:numFmt w:val="decimal"/>
      <w:pStyle w:val="119"/>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5">
    <w:nsid w:val="54632751"/>
    <w:multiLevelType w:val="multilevel"/>
    <w:tmpl w:val="54632751"/>
    <w:lvl w:ilvl="0" w:tentative="0">
      <w:start w:val="1"/>
      <w:numFmt w:val="none"/>
      <w:pStyle w:val="96"/>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6">
    <w:nsid w:val="557C2AF5"/>
    <w:multiLevelType w:val="multilevel"/>
    <w:tmpl w:val="557C2AF5"/>
    <w:lvl w:ilvl="0" w:tentative="0">
      <w:start w:val="1"/>
      <w:numFmt w:val="decimal"/>
      <w:pStyle w:val="117"/>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603797C"/>
    <w:multiLevelType w:val="multilevel"/>
    <w:tmpl w:val="5603797C"/>
    <w:lvl w:ilvl="0" w:tentative="0">
      <w:start w:val="1"/>
      <w:numFmt w:val="upperLetter"/>
      <w:pStyle w:val="202"/>
      <w:suff w:val="space"/>
      <w:lvlText w:val="%1"/>
      <w:lvlJc w:val="left"/>
      <w:pPr>
        <w:ind w:left="425" w:hanging="425"/>
      </w:pPr>
      <w:rPr>
        <w:rFonts w:hint="eastAsia"/>
      </w:rPr>
    </w:lvl>
    <w:lvl w:ilvl="1" w:tentative="0">
      <w:start w:val="1"/>
      <w:numFmt w:val="decimal"/>
      <w:pStyle w:val="80"/>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8">
    <w:nsid w:val="564D2089"/>
    <w:multiLevelType w:val="multilevel"/>
    <w:tmpl w:val="564D2089"/>
    <w:lvl w:ilvl="0" w:tentative="0">
      <w:start w:val="1"/>
      <w:numFmt w:val="none"/>
      <w:pStyle w:val="114"/>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9">
    <w:nsid w:val="644622F9"/>
    <w:multiLevelType w:val="multilevel"/>
    <w:tmpl w:val="644622F9"/>
    <w:lvl w:ilvl="0" w:tentative="0">
      <w:start w:val="1"/>
      <w:numFmt w:val="upp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0">
    <w:nsid w:val="646260FA"/>
    <w:multiLevelType w:val="multilevel"/>
    <w:tmpl w:val="646260FA"/>
    <w:lvl w:ilvl="0" w:tentative="0">
      <w:start w:val="1"/>
      <w:numFmt w:val="decimal"/>
      <w:pStyle w:val="115"/>
      <w:suff w:val="nothing"/>
      <w:lvlText w:val="表%1　"/>
      <w:lvlJc w:val="left"/>
      <w:pPr>
        <w:ind w:left="0" w:firstLine="0"/>
      </w:pPr>
      <w:rPr>
        <w:rFonts w:ascii="黑体" w:hAnsi="黑体" w:eastAsia="黑体"/>
      </w:r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1">
    <w:nsid w:val="654A26C9"/>
    <w:multiLevelType w:val="multilevel"/>
    <w:tmpl w:val="654A26C9"/>
    <w:lvl w:ilvl="0" w:tentative="0">
      <w:start w:val="1"/>
      <w:numFmt w:val="none"/>
      <w:pStyle w:val="192"/>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2">
    <w:nsid w:val="657D3FBC"/>
    <w:multiLevelType w:val="multilevel"/>
    <w:tmpl w:val="657D3FBC"/>
    <w:lvl w:ilvl="0" w:tentative="0">
      <w:start w:val="1"/>
      <w:numFmt w:val="upperLetter"/>
      <w:pStyle w:val="79"/>
      <w:suff w:val="nothing"/>
      <w:lvlText w:val="附录%1"/>
      <w:lvlJc w:val="left"/>
      <w:pPr>
        <w:ind w:left="0" w:firstLine="0"/>
      </w:pPr>
      <w:rPr>
        <w:rFonts w:hint="eastAsia"/>
        <w:spacing w:val="100"/>
      </w:rPr>
    </w:lvl>
    <w:lvl w:ilvl="1" w:tentative="0">
      <w:start w:val="1"/>
      <w:numFmt w:val="decimal"/>
      <w:pStyle w:val="81"/>
      <w:suff w:val="nothing"/>
      <w:lvlText w:val="%1.%2　"/>
      <w:lvlJc w:val="left"/>
      <w:pPr>
        <w:ind w:left="0" w:firstLine="0"/>
      </w:pPr>
      <w:rPr>
        <w:rFonts w:hint="eastAsia" w:ascii="黑体" w:eastAsia="黑体"/>
        <w:b w:val="0"/>
        <w:i w:val="0"/>
        <w:sz w:val="21"/>
      </w:rPr>
    </w:lvl>
    <w:lvl w:ilvl="2" w:tentative="0">
      <w:start w:val="1"/>
      <w:numFmt w:val="decimal"/>
      <w:pStyle w:val="82"/>
      <w:suff w:val="nothing"/>
      <w:lvlText w:val="%1.%2.%3　"/>
      <w:lvlJc w:val="left"/>
      <w:pPr>
        <w:ind w:left="0" w:firstLine="0"/>
      </w:pPr>
      <w:rPr>
        <w:rFonts w:hint="eastAsia" w:ascii="黑体" w:eastAsia="黑体"/>
        <w:b w:val="0"/>
        <w:i w:val="0"/>
        <w:sz w:val="21"/>
      </w:rPr>
    </w:lvl>
    <w:lvl w:ilvl="3" w:tentative="0">
      <w:start w:val="1"/>
      <w:numFmt w:val="decimal"/>
      <w:pStyle w:val="84"/>
      <w:suff w:val="nothing"/>
      <w:lvlText w:val="%1.%2.%3.%4　"/>
      <w:lvlJc w:val="left"/>
      <w:pPr>
        <w:ind w:left="0" w:firstLine="0"/>
      </w:pPr>
      <w:rPr>
        <w:rFonts w:hint="eastAsia" w:ascii="黑体" w:eastAsia="黑体"/>
        <w:b w:val="0"/>
        <w:i w:val="0"/>
        <w:sz w:val="21"/>
      </w:rPr>
    </w:lvl>
    <w:lvl w:ilvl="4" w:tentative="0">
      <w:start w:val="1"/>
      <w:numFmt w:val="decimal"/>
      <w:pStyle w:val="85"/>
      <w:suff w:val="nothing"/>
      <w:lvlText w:val="%1.%2.%3.%4.%5　"/>
      <w:lvlJc w:val="left"/>
      <w:pPr>
        <w:ind w:left="0" w:firstLine="0"/>
      </w:pPr>
      <w:rPr>
        <w:rFonts w:hint="eastAsia" w:ascii="黑体" w:eastAsia="黑体"/>
        <w:b w:val="0"/>
        <w:i w:val="0"/>
        <w:sz w:val="21"/>
      </w:rPr>
    </w:lvl>
    <w:lvl w:ilvl="5" w:tentative="0">
      <w:start w:val="1"/>
      <w:numFmt w:val="decimal"/>
      <w:pStyle w:val="87"/>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3">
    <w:nsid w:val="69506ABF"/>
    <w:multiLevelType w:val="multilevel"/>
    <w:tmpl w:val="69506ABF"/>
    <w:lvl w:ilvl="0" w:tentative="0">
      <w:start w:val="1"/>
      <w:numFmt w:val="bullet"/>
      <w:pStyle w:val="19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4">
    <w:nsid w:val="6CA41985"/>
    <w:multiLevelType w:val="multilevel"/>
    <w:tmpl w:val="6CA41985"/>
    <w:lvl w:ilvl="0" w:tentative="0">
      <w:start w:val="1"/>
      <w:numFmt w:val="decimal"/>
      <w:pStyle w:val="100"/>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5">
    <w:nsid w:val="6CE42AC1"/>
    <w:multiLevelType w:val="multilevel"/>
    <w:tmpl w:val="6CE42AC1"/>
    <w:lvl w:ilvl="0" w:tentative="0">
      <w:start w:val="1"/>
      <w:numFmt w:val="lowerLetter"/>
      <w:pStyle w:val="176"/>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6">
    <w:nsid w:val="6CEA2025"/>
    <w:multiLevelType w:val="multilevel"/>
    <w:tmpl w:val="6CEA2025"/>
    <w:lvl w:ilvl="0" w:tentative="0">
      <w:start w:val="1"/>
      <w:numFmt w:val="none"/>
      <w:pStyle w:val="155"/>
      <w:suff w:val="nothing"/>
      <w:lvlText w:val="%1"/>
      <w:lvlJc w:val="left"/>
      <w:pPr>
        <w:ind w:left="0" w:firstLine="0"/>
      </w:pPr>
      <w:rPr>
        <w:rFonts w:hint="eastAsia"/>
      </w:rPr>
    </w:lvl>
    <w:lvl w:ilvl="1" w:tentative="0">
      <w:start w:val="1"/>
      <w:numFmt w:val="decimal"/>
      <w:pStyle w:val="107"/>
      <w:suff w:val="nothing"/>
      <w:lvlText w:val="%1%2　"/>
      <w:lvlJc w:val="left"/>
      <w:pPr>
        <w:ind w:left="0" w:firstLine="0"/>
      </w:pPr>
      <w:rPr>
        <w:rFonts w:hint="eastAsia" w:ascii="黑体" w:eastAsia="黑体"/>
        <w:b w:val="0"/>
        <w:i w:val="0"/>
        <w:sz w:val="21"/>
      </w:rPr>
    </w:lvl>
    <w:lvl w:ilvl="2" w:tentative="0">
      <w:start w:val="1"/>
      <w:numFmt w:val="decimal"/>
      <w:pStyle w:val="108"/>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8"/>
      <w:suff w:val="nothing"/>
      <w:lvlText w:val="%1%2.%3.%4　"/>
      <w:lvlJc w:val="left"/>
      <w:pPr>
        <w:ind w:left="0" w:firstLine="0"/>
      </w:pPr>
      <w:rPr>
        <w:rFonts w:hint="eastAsia" w:ascii="黑体" w:eastAsia="黑体"/>
        <w:b w:val="0"/>
        <w:i w:val="0"/>
        <w:sz w:val="21"/>
      </w:rPr>
    </w:lvl>
    <w:lvl w:ilvl="4" w:tentative="0">
      <w:start w:val="1"/>
      <w:numFmt w:val="decimal"/>
      <w:pStyle w:val="97"/>
      <w:suff w:val="nothing"/>
      <w:lvlText w:val="%1%2.%3.%4.%5　"/>
      <w:lvlJc w:val="left"/>
      <w:pPr>
        <w:ind w:left="0" w:firstLine="0"/>
      </w:pPr>
      <w:rPr>
        <w:rFonts w:hint="eastAsia" w:ascii="黑体" w:eastAsia="黑体"/>
        <w:b w:val="0"/>
        <w:i w:val="0"/>
        <w:sz w:val="21"/>
      </w:rPr>
    </w:lvl>
    <w:lvl w:ilvl="5" w:tentative="0">
      <w:start w:val="1"/>
      <w:numFmt w:val="decimal"/>
      <w:pStyle w:val="101"/>
      <w:suff w:val="nothing"/>
      <w:lvlText w:val="%1%2.%3.%4.%5.%6　"/>
      <w:lvlJc w:val="left"/>
      <w:pPr>
        <w:ind w:left="0" w:firstLine="0"/>
      </w:pPr>
      <w:rPr>
        <w:rFonts w:hint="eastAsia" w:ascii="黑体" w:eastAsia="黑体"/>
        <w:b w:val="0"/>
        <w:i w:val="0"/>
        <w:sz w:val="21"/>
      </w:rPr>
    </w:lvl>
    <w:lvl w:ilvl="6" w:tentative="0">
      <w:start w:val="1"/>
      <w:numFmt w:val="decimal"/>
      <w:pStyle w:val="106"/>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7">
    <w:nsid w:val="6DBF04F4"/>
    <w:multiLevelType w:val="multilevel"/>
    <w:tmpl w:val="6DBF04F4"/>
    <w:lvl w:ilvl="0" w:tentative="0">
      <w:start w:val="1"/>
      <w:numFmt w:val="none"/>
      <w:pStyle w:val="182"/>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8">
    <w:nsid w:val="6DF35F19"/>
    <w:multiLevelType w:val="multilevel"/>
    <w:tmpl w:val="6DF35F19"/>
    <w:lvl w:ilvl="0" w:tentative="0">
      <w:start w:val="1"/>
      <w:numFmt w:val="decimal"/>
      <w:pStyle w:val="118"/>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9">
    <w:nsid w:val="76933334"/>
    <w:multiLevelType w:val="multilevel"/>
    <w:tmpl w:val="76933334"/>
    <w:lvl w:ilvl="0" w:tentative="0">
      <w:start w:val="1"/>
      <w:numFmt w:val="none"/>
      <w:pStyle w:val="142"/>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6"/>
  </w:num>
  <w:num w:numId="3">
    <w:abstractNumId w:val="5"/>
  </w:num>
  <w:num w:numId="4">
    <w:abstractNumId w:val="22"/>
  </w:num>
  <w:num w:numId="5">
    <w:abstractNumId w:val="17"/>
  </w:num>
  <w:num w:numId="6">
    <w:abstractNumId w:val="12"/>
  </w:num>
  <w:num w:numId="7">
    <w:abstractNumId w:val="8"/>
  </w:num>
  <w:num w:numId="8">
    <w:abstractNumId w:val="3"/>
  </w:num>
  <w:num w:numId="9">
    <w:abstractNumId w:val="9"/>
  </w:num>
  <w:num w:numId="10">
    <w:abstractNumId w:val="15"/>
  </w:num>
  <w:num w:numId="11">
    <w:abstractNumId w:val="24"/>
  </w:num>
  <w:num w:numId="12">
    <w:abstractNumId w:val="10"/>
  </w:num>
  <w:num w:numId="13">
    <w:abstractNumId w:val="11"/>
  </w:num>
  <w:num w:numId="14">
    <w:abstractNumId w:val="7"/>
  </w:num>
  <w:num w:numId="15">
    <w:abstractNumId w:val="18"/>
  </w:num>
  <w:num w:numId="16">
    <w:abstractNumId w:val="20"/>
  </w:num>
  <w:num w:numId="17">
    <w:abstractNumId w:val="16"/>
  </w:num>
  <w:num w:numId="18">
    <w:abstractNumId w:val="28"/>
  </w:num>
  <w:num w:numId="19">
    <w:abstractNumId w:val="14"/>
  </w:num>
  <w:num w:numId="20">
    <w:abstractNumId w:val="1"/>
  </w:num>
  <w:num w:numId="21">
    <w:abstractNumId w:val="29"/>
  </w:num>
  <w:num w:numId="22">
    <w:abstractNumId w:val="19"/>
  </w:num>
  <w:num w:numId="23">
    <w:abstractNumId w:val="6"/>
  </w:num>
  <w:num w:numId="24">
    <w:abstractNumId w:val="25"/>
  </w:num>
  <w:num w:numId="25">
    <w:abstractNumId w:val="27"/>
  </w:num>
  <w:num w:numId="26">
    <w:abstractNumId w:val="4"/>
  </w:num>
  <w:num w:numId="27">
    <w:abstractNumId w:val="13"/>
  </w:num>
  <w:num w:numId="28">
    <w:abstractNumId w:val="23"/>
  </w:num>
  <w:num w:numId="29">
    <w:abstractNumId w:val="21"/>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attachedTemplate r:id="rId1"/>
  <w:documentProtection w:edit="forms" w:enforcement="0"/>
  <w:defaultTabStop w:val="420"/>
  <w:evenAndOddHeaders w:val="1"/>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JmZjFmZDRiYjBkMjlkMzcyNzAyNzYxN2I5MTkwYTUifQ=="/>
  </w:docVars>
  <w:rsids>
    <w:rsidRoot w:val="00735102"/>
    <w:rsid w:val="0000040A"/>
    <w:rsid w:val="00000A94"/>
    <w:rsid w:val="00001972"/>
    <w:rsid w:val="00001D9A"/>
    <w:rsid w:val="00007B3A"/>
    <w:rsid w:val="000107E0"/>
    <w:rsid w:val="00011FDE"/>
    <w:rsid w:val="00012FFD"/>
    <w:rsid w:val="00014162"/>
    <w:rsid w:val="00014340"/>
    <w:rsid w:val="000162F4"/>
    <w:rsid w:val="00016A9C"/>
    <w:rsid w:val="00022184"/>
    <w:rsid w:val="00022762"/>
    <w:rsid w:val="000238E0"/>
    <w:rsid w:val="000249DB"/>
    <w:rsid w:val="0002595E"/>
    <w:rsid w:val="00025AD5"/>
    <w:rsid w:val="000303C3"/>
    <w:rsid w:val="0003245A"/>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704"/>
    <w:rsid w:val="00080A1C"/>
    <w:rsid w:val="00082317"/>
    <w:rsid w:val="00083D2C"/>
    <w:rsid w:val="00086AA1"/>
    <w:rsid w:val="00087A77"/>
    <w:rsid w:val="00090CA6"/>
    <w:rsid w:val="00092B8A"/>
    <w:rsid w:val="00092FB0"/>
    <w:rsid w:val="000934C5"/>
    <w:rsid w:val="00093C61"/>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0688F"/>
    <w:rsid w:val="00113B1E"/>
    <w:rsid w:val="0011711C"/>
    <w:rsid w:val="00117D4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1A31"/>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0364"/>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221D"/>
    <w:rsid w:val="003331E4"/>
    <w:rsid w:val="00336C64"/>
    <w:rsid w:val="00337162"/>
    <w:rsid w:val="003379C1"/>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67BCC"/>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2E1D"/>
    <w:rsid w:val="003C5A43"/>
    <w:rsid w:val="003D0519"/>
    <w:rsid w:val="003D0FF6"/>
    <w:rsid w:val="003D262C"/>
    <w:rsid w:val="003D6CF8"/>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497B"/>
    <w:rsid w:val="004659BD"/>
    <w:rsid w:val="00470775"/>
    <w:rsid w:val="004746B1"/>
    <w:rsid w:val="0047583F"/>
    <w:rsid w:val="00475DE8"/>
    <w:rsid w:val="00481C44"/>
    <w:rsid w:val="00484936"/>
    <w:rsid w:val="00485C89"/>
    <w:rsid w:val="00486BE3"/>
    <w:rsid w:val="00486E50"/>
    <w:rsid w:val="00487BBC"/>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9AF"/>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18F4"/>
    <w:rsid w:val="00593A49"/>
    <w:rsid w:val="00596160"/>
    <w:rsid w:val="005966E2"/>
    <w:rsid w:val="00597007"/>
    <w:rsid w:val="005A0966"/>
    <w:rsid w:val="005A11B7"/>
    <w:rsid w:val="005A1355"/>
    <w:rsid w:val="005A260B"/>
    <w:rsid w:val="005A4A1B"/>
    <w:rsid w:val="005A7830"/>
    <w:rsid w:val="005A7FCE"/>
    <w:rsid w:val="005B0F3F"/>
    <w:rsid w:val="005B191C"/>
    <w:rsid w:val="005B214A"/>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720"/>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836"/>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D6871"/>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5102"/>
    <w:rsid w:val="0073720F"/>
    <w:rsid w:val="00737796"/>
    <w:rsid w:val="0074165C"/>
    <w:rsid w:val="00742C35"/>
    <w:rsid w:val="007432CA"/>
    <w:rsid w:val="007439EB"/>
    <w:rsid w:val="00743CB4"/>
    <w:rsid w:val="00743F0A"/>
    <w:rsid w:val="007444E8"/>
    <w:rsid w:val="0074548E"/>
    <w:rsid w:val="00745731"/>
    <w:rsid w:val="00745773"/>
    <w:rsid w:val="00746800"/>
    <w:rsid w:val="007501A8"/>
    <w:rsid w:val="00750D61"/>
    <w:rsid w:val="00750EE1"/>
    <w:rsid w:val="00752B4D"/>
    <w:rsid w:val="00755402"/>
    <w:rsid w:val="00756B26"/>
    <w:rsid w:val="00756EDF"/>
    <w:rsid w:val="007600E3"/>
    <w:rsid w:val="00763902"/>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C7C23"/>
    <w:rsid w:val="007D06C4"/>
    <w:rsid w:val="007D1352"/>
    <w:rsid w:val="007D2508"/>
    <w:rsid w:val="007D346A"/>
    <w:rsid w:val="007D6518"/>
    <w:rsid w:val="007D7294"/>
    <w:rsid w:val="007D76BD"/>
    <w:rsid w:val="007E0BF1"/>
    <w:rsid w:val="007F0ED8"/>
    <w:rsid w:val="007F0F63"/>
    <w:rsid w:val="007F75CE"/>
    <w:rsid w:val="00800518"/>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0E1B"/>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373B"/>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0EF7"/>
    <w:rsid w:val="008E1648"/>
    <w:rsid w:val="008E1B3E"/>
    <w:rsid w:val="008E2319"/>
    <w:rsid w:val="008E4BB6"/>
    <w:rsid w:val="008E5518"/>
    <w:rsid w:val="008E6A84"/>
    <w:rsid w:val="008F0B84"/>
    <w:rsid w:val="008F0CDC"/>
    <w:rsid w:val="008F17A3"/>
    <w:rsid w:val="008F1ED3"/>
    <w:rsid w:val="008F4C29"/>
    <w:rsid w:val="008F70BD"/>
    <w:rsid w:val="008F788F"/>
    <w:rsid w:val="008F7EA2"/>
    <w:rsid w:val="00902722"/>
    <w:rsid w:val="009027BC"/>
    <w:rsid w:val="009062E6"/>
    <w:rsid w:val="009069D7"/>
    <w:rsid w:val="00911BE5"/>
    <w:rsid w:val="00913CA9"/>
    <w:rsid w:val="009145AE"/>
    <w:rsid w:val="009146CE"/>
    <w:rsid w:val="00914CA7"/>
    <w:rsid w:val="00915C3E"/>
    <w:rsid w:val="009161A8"/>
    <w:rsid w:val="009208CE"/>
    <w:rsid w:val="009245AE"/>
    <w:rsid w:val="009245F5"/>
    <w:rsid w:val="009249EC"/>
    <w:rsid w:val="009273B3"/>
    <w:rsid w:val="009305B5"/>
    <w:rsid w:val="009378DD"/>
    <w:rsid w:val="009429D5"/>
    <w:rsid w:val="00942BF1"/>
    <w:rsid w:val="00945180"/>
    <w:rsid w:val="00945428"/>
    <w:rsid w:val="0094607B"/>
    <w:rsid w:val="00953604"/>
    <w:rsid w:val="009541AE"/>
    <w:rsid w:val="0095496B"/>
    <w:rsid w:val="00960F1E"/>
    <w:rsid w:val="009610DC"/>
    <w:rsid w:val="00961490"/>
    <w:rsid w:val="0096381A"/>
    <w:rsid w:val="00965E04"/>
    <w:rsid w:val="009674AD"/>
    <w:rsid w:val="00970CDC"/>
    <w:rsid w:val="00975727"/>
    <w:rsid w:val="00977010"/>
    <w:rsid w:val="00977D02"/>
    <w:rsid w:val="00977FF9"/>
    <w:rsid w:val="009806DE"/>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3E19"/>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18EA"/>
    <w:rsid w:val="009D1CFB"/>
    <w:rsid w:val="009D47FA"/>
    <w:rsid w:val="009D4C5B"/>
    <w:rsid w:val="009D50D2"/>
    <w:rsid w:val="009D6BCA"/>
    <w:rsid w:val="009E0F62"/>
    <w:rsid w:val="009E27D8"/>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375FB"/>
    <w:rsid w:val="00A4006C"/>
    <w:rsid w:val="00A40091"/>
    <w:rsid w:val="00A4030F"/>
    <w:rsid w:val="00A41C79"/>
    <w:rsid w:val="00A41CB5"/>
    <w:rsid w:val="00A42CDF"/>
    <w:rsid w:val="00A4452E"/>
    <w:rsid w:val="00A4472C"/>
    <w:rsid w:val="00A44E69"/>
    <w:rsid w:val="00A4661E"/>
    <w:rsid w:val="00A55BD6"/>
    <w:rsid w:val="00A55D50"/>
    <w:rsid w:val="00A57142"/>
    <w:rsid w:val="00A5760F"/>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5DC2"/>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1EF8"/>
    <w:rsid w:val="00CA2D1B"/>
    <w:rsid w:val="00CA375D"/>
    <w:rsid w:val="00CA6093"/>
    <w:rsid w:val="00CA662A"/>
    <w:rsid w:val="00CA7AFD"/>
    <w:rsid w:val="00CA7C3C"/>
    <w:rsid w:val="00CB0189"/>
    <w:rsid w:val="00CB0BA2"/>
    <w:rsid w:val="00CB1A42"/>
    <w:rsid w:val="00CB1B0C"/>
    <w:rsid w:val="00CB2C0B"/>
    <w:rsid w:val="00CB517D"/>
    <w:rsid w:val="00CC038D"/>
    <w:rsid w:val="00CC08DB"/>
    <w:rsid w:val="00CC128A"/>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505"/>
    <w:rsid w:val="00DA6C15"/>
    <w:rsid w:val="00DB0258"/>
    <w:rsid w:val="00DB036B"/>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3851377"/>
    <w:rsid w:val="0399147B"/>
    <w:rsid w:val="03C9314E"/>
    <w:rsid w:val="03ED1C8C"/>
    <w:rsid w:val="04AA0BA0"/>
    <w:rsid w:val="06D95DC9"/>
    <w:rsid w:val="0B5E6AF4"/>
    <w:rsid w:val="0CE76689"/>
    <w:rsid w:val="0F671755"/>
    <w:rsid w:val="11B83D8F"/>
    <w:rsid w:val="11F56D91"/>
    <w:rsid w:val="135467F9"/>
    <w:rsid w:val="15CC725A"/>
    <w:rsid w:val="1A744BDA"/>
    <w:rsid w:val="1ADB7C95"/>
    <w:rsid w:val="1B232A27"/>
    <w:rsid w:val="1B8C1454"/>
    <w:rsid w:val="1CD50B3B"/>
    <w:rsid w:val="1F3D147B"/>
    <w:rsid w:val="22ED4B1A"/>
    <w:rsid w:val="25120456"/>
    <w:rsid w:val="290D461B"/>
    <w:rsid w:val="2A807899"/>
    <w:rsid w:val="2AAE2427"/>
    <w:rsid w:val="2AC666EE"/>
    <w:rsid w:val="2D6A40CE"/>
    <w:rsid w:val="2DCD04C8"/>
    <w:rsid w:val="2E994253"/>
    <w:rsid w:val="2F3311E1"/>
    <w:rsid w:val="323F2AC3"/>
    <w:rsid w:val="33357EA6"/>
    <w:rsid w:val="345F5A6A"/>
    <w:rsid w:val="346A22E6"/>
    <w:rsid w:val="358D2CB9"/>
    <w:rsid w:val="38145E28"/>
    <w:rsid w:val="38BC5A67"/>
    <w:rsid w:val="3AE2002F"/>
    <w:rsid w:val="3F8C5715"/>
    <w:rsid w:val="40532493"/>
    <w:rsid w:val="408D71BE"/>
    <w:rsid w:val="4105229D"/>
    <w:rsid w:val="41C870A5"/>
    <w:rsid w:val="42DF060E"/>
    <w:rsid w:val="43917E18"/>
    <w:rsid w:val="44A07E05"/>
    <w:rsid w:val="453A003B"/>
    <w:rsid w:val="459C1CDF"/>
    <w:rsid w:val="4BAD0082"/>
    <w:rsid w:val="4E607E57"/>
    <w:rsid w:val="51E278DA"/>
    <w:rsid w:val="56CC3CE9"/>
    <w:rsid w:val="57A92375"/>
    <w:rsid w:val="593226CA"/>
    <w:rsid w:val="59D6437F"/>
    <w:rsid w:val="5A7C3C4E"/>
    <w:rsid w:val="5D5C6D53"/>
    <w:rsid w:val="5DB81DEE"/>
    <w:rsid w:val="5F2A791E"/>
    <w:rsid w:val="60A54C42"/>
    <w:rsid w:val="60D6228D"/>
    <w:rsid w:val="66CB0623"/>
    <w:rsid w:val="67A47709"/>
    <w:rsid w:val="697C221C"/>
    <w:rsid w:val="6B1F0C6B"/>
    <w:rsid w:val="6EB67416"/>
    <w:rsid w:val="707B6389"/>
    <w:rsid w:val="713641DD"/>
    <w:rsid w:val="724077E8"/>
    <w:rsid w:val="7266529A"/>
    <w:rsid w:val="72DA1118"/>
    <w:rsid w:val="75D13EDB"/>
    <w:rsid w:val="77652E36"/>
    <w:rsid w:val="79924B18"/>
    <w:rsid w:val="79D727CC"/>
    <w:rsid w:val="7A42139E"/>
    <w:rsid w:val="7C4B60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8"/>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9"/>
    <w:qFormat/>
    <w:uiPriority w:val="0"/>
    <w:pPr>
      <w:keepNext/>
      <w:keepLines/>
      <w:spacing w:before="260" w:after="260" w:line="416" w:lineRule="auto"/>
      <w:outlineLvl w:val="2"/>
    </w:pPr>
    <w:rPr>
      <w:b/>
      <w:bCs/>
      <w:sz w:val="32"/>
      <w:szCs w:val="32"/>
    </w:rPr>
  </w:style>
  <w:style w:type="paragraph" w:styleId="5">
    <w:name w:val="heading 4"/>
    <w:basedOn w:val="1"/>
    <w:next w:val="1"/>
    <w:link w:val="40"/>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1"/>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2"/>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3"/>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4"/>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5"/>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link w:val="233"/>
    <w:semiHidden/>
    <w:unhideWhenUsed/>
    <w:qFormat/>
    <w:uiPriority w:val="99"/>
    <w:pPr>
      <w:jc w:val="left"/>
    </w:pPr>
  </w:style>
  <w:style w:type="paragraph" w:styleId="14">
    <w:name w:val="Body Text"/>
    <w:basedOn w:val="1"/>
    <w:link w:val="89"/>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8"/>
    <w:semiHidden/>
    <w:unhideWhenUsed/>
    <w:qFormat/>
    <w:uiPriority w:val="99"/>
    <w:rPr>
      <w:sz w:val="18"/>
      <w:szCs w:val="18"/>
    </w:rPr>
  </w:style>
  <w:style w:type="paragraph" w:styleId="18">
    <w:name w:val="footer"/>
    <w:basedOn w:val="1"/>
    <w:link w:val="47"/>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6"/>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2"/>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Title"/>
    <w:basedOn w:val="1"/>
    <w:link w:val="51"/>
    <w:qFormat/>
    <w:uiPriority w:val="0"/>
    <w:pPr>
      <w:spacing w:before="240" w:after="60"/>
      <w:jc w:val="center"/>
      <w:outlineLvl w:val="0"/>
    </w:pPr>
    <w:rPr>
      <w:rFonts w:ascii="Arial" w:hAnsi="Arial" w:cs="Arial"/>
      <w:b/>
      <w:bCs/>
      <w:sz w:val="32"/>
      <w:szCs w:val="32"/>
    </w:rPr>
  </w:style>
  <w:style w:type="paragraph" w:styleId="27">
    <w:name w:val="annotation subject"/>
    <w:basedOn w:val="13"/>
    <w:next w:val="13"/>
    <w:link w:val="234"/>
    <w:semiHidden/>
    <w:unhideWhenUsed/>
    <w:qFormat/>
    <w:uiPriority w:val="99"/>
    <w:rPr>
      <w:b/>
      <w:bCs/>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22"/>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annotation reference"/>
    <w:basedOn w:val="30"/>
    <w:semiHidden/>
    <w:unhideWhenUsed/>
    <w:qFormat/>
    <w:uiPriority w:val="99"/>
    <w:rPr>
      <w:sz w:val="21"/>
      <w:szCs w:val="21"/>
    </w:rPr>
  </w:style>
  <w:style w:type="character" w:styleId="36">
    <w:name w:val="footnote reference"/>
    <w:semiHidden/>
    <w:qFormat/>
    <w:uiPriority w:val="0"/>
    <w:rPr>
      <w:rFonts w:ascii="宋体" w:hAnsi="宋体" w:eastAsia="宋体" w:cs="Times New Roman"/>
      <w:spacing w:val="0"/>
      <w:sz w:val="18"/>
      <w:vertAlign w:val="superscript"/>
    </w:rPr>
  </w:style>
  <w:style w:type="character" w:customStyle="1" w:styleId="37">
    <w:name w:val="标题 1 字符"/>
    <w:link w:val="2"/>
    <w:qFormat/>
    <w:uiPriority w:val="0"/>
    <w:rPr>
      <w:b/>
      <w:bCs/>
      <w:kern w:val="44"/>
      <w:sz w:val="44"/>
      <w:szCs w:val="44"/>
    </w:rPr>
  </w:style>
  <w:style w:type="character" w:customStyle="1" w:styleId="38">
    <w:name w:val="标题 2 字符"/>
    <w:link w:val="3"/>
    <w:qFormat/>
    <w:uiPriority w:val="0"/>
    <w:rPr>
      <w:rFonts w:ascii="Arial" w:hAnsi="Arial" w:eastAsia="黑体"/>
      <w:b/>
      <w:bCs/>
      <w:kern w:val="2"/>
      <w:sz w:val="32"/>
      <w:szCs w:val="32"/>
    </w:rPr>
  </w:style>
  <w:style w:type="character" w:customStyle="1" w:styleId="39">
    <w:name w:val="标题 3 字符"/>
    <w:link w:val="4"/>
    <w:qFormat/>
    <w:uiPriority w:val="0"/>
    <w:rPr>
      <w:b/>
      <w:bCs/>
      <w:kern w:val="2"/>
      <w:sz w:val="32"/>
      <w:szCs w:val="32"/>
    </w:rPr>
  </w:style>
  <w:style w:type="character" w:customStyle="1" w:styleId="40">
    <w:name w:val="标题 4 字符"/>
    <w:link w:val="5"/>
    <w:qFormat/>
    <w:uiPriority w:val="0"/>
    <w:rPr>
      <w:rFonts w:ascii="Arial" w:hAnsi="Arial" w:eastAsia="黑体"/>
      <w:b/>
      <w:bCs/>
      <w:kern w:val="2"/>
      <w:sz w:val="28"/>
      <w:szCs w:val="28"/>
    </w:rPr>
  </w:style>
  <w:style w:type="character" w:customStyle="1" w:styleId="41">
    <w:name w:val="标题 5 字符"/>
    <w:link w:val="6"/>
    <w:qFormat/>
    <w:uiPriority w:val="0"/>
    <w:rPr>
      <w:b/>
      <w:bCs/>
      <w:kern w:val="2"/>
      <w:sz w:val="28"/>
      <w:szCs w:val="28"/>
    </w:rPr>
  </w:style>
  <w:style w:type="character" w:customStyle="1" w:styleId="42">
    <w:name w:val="标题 6 字符"/>
    <w:link w:val="7"/>
    <w:qFormat/>
    <w:uiPriority w:val="0"/>
    <w:rPr>
      <w:rFonts w:ascii="Arial" w:hAnsi="Arial" w:eastAsia="黑体"/>
      <w:b/>
      <w:bCs/>
      <w:kern w:val="2"/>
      <w:sz w:val="24"/>
      <w:szCs w:val="24"/>
    </w:rPr>
  </w:style>
  <w:style w:type="character" w:customStyle="1" w:styleId="43">
    <w:name w:val="标题 7 字符"/>
    <w:link w:val="8"/>
    <w:qFormat/>
    <w:uiPriority w:val="0"/>
    <w:rPr>
      <w:b/>
      <w:bCs/>
      <w:kern w:val="2"/>
      <w:sz w:val="24"/>
      <w:szCs w:val="24"/>
    </w:rPr>
  </w:style>
  <w:style w:type="character" w:customStyle="1" w:styleId="44">
    <w:name w:val="标题 8 字符"/>
    <w:link w:val="9"/>
    <w:qFormat/>
    <w:uiPriority w:val="0"/>
    <w:rPr>
      <w:rFonts w:ascii="Arial" w:hAnsi="Arial" w:eastAsia="黑体"/>
      <w:kern w:val="2"/>
      <w:sz w:val="24"/>
      <w:szCs w:val="24"/>
    </w:rPr>
  </w:style>
  <w:style w:type="character" w:customStyle="1" w:styleId="45">
    <w:name w:val="标题 9 字符"/>
    <w:link w:val="10"/>
    <w:qFormat/>
    <w:uiPriority w:val="0"/>
    <w:rPr>
      <w:rFonts w:ascii="Arial" w:hAnsi="Arial" w:eastAsia="黑体"/>
      <w:kern w:val="2"/>
      <w:sz w:val="21"/>
      <w:szCs w:val="21"/>
    </w:rPr>
  </w:style>
  <w:style w:type="character" w:customStyle="1" w:styleId="46">
    <w:name w:val="页眉 字符"/>
    <w:link w:val="19"/>
    <w:qFormat/>
    <w:uiPriority w:val="99"/>
    <w:rPr>
      <w:kern w:val="2"/>
      <w:sz w:val="18"/>
      <w:szCs w:val="18"/>
    </w:rPr>
  </w:style>
  <w:style w:type="character" w:customStyle="1" w:styleId="47">
    <w:name w:val="页脚 字符"/>
    <w:link w:val="18"/>
    <w:qFormat/>
    <w:uiPriority w:val="99"/>
    <w:rPr>
      <w:rFonts w:ascii="宋体"/>
      <w:kern w:val="2"/>
      <w:sz w:val="18"/>
      <w:szCs w:val="18"/>
    </w:rPr>
  </w:style>
  <w:style w:type="character" w:customStyle="1" w:styleId="48">
    <w:name w:val="批注框文本 字符"/>
    <w:link w:val="17"/>
    <w:semiHidden/>
    <w:qFormat/>
    <w:uiPriority w:val="99"/>
    <w:rPr>
      <w:kern w:val="2"/>
      <w:sz w:val="18"/>
      <w:szCs w:val="18"/>
    </w:rPr>
  </w:style>
  <w:style w:type="paragraph" w:styleId="49">
    <w:name w:val="Quote"/>
    <w:basedOn w:val="1"/>
    <w:next w:val="1"/>
    <w:link w:val="50"/>
    <w:qFormat/>
    <w:uiPriority w:val="29"/>
    <w:rPr>
      <w:i/>
      <w:iCs/>
      <w:color w:val="000000"/>
    </w:rPr>
  </w:style>
  <w:style w:type="character" w:customStyle="1" w:styleId="50">
    <w:name w:val="引用 字符"/>
    <w:link w:val="49"/>
    <w:qFormat/>
    <w:uiPriority w:val="29"/>
    <w:rPr>
      <w:i/>
      <w:iCs/>
      <w:color w:val="000000"/>
      <w:kern w:val="2"/>
      <w:sz w:val="21"/>
      <w:szCs w:val="21"/>
    </w:rPr>
  </w:style>
  <w:style w:type="character" w:customStyle="1" w:styleId="51">
    <w:name w:val="标题 字符"/>
    <w:link w:val="26"/>
    <w:qFormat/>
    <w:uiPriority w:val="0"/>
    <w:rPr>
      <w:rFonts w:ascii="Arial" w:hAnsi="Arial" w:cs="Arial"/>
      <w:b/>
      <w:bCs/>
      <w:kern w:val="2"/>
      <w:sz w:val="32"/>
      <w:szCs w:val="32"/>
    </w:rPr>
  </w:style>
  <w:style w:type="paragraph" w:customStyle="1" w:styleId="52">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3">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4">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5">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6">
    <w:name w:val="标准书眉一"/>
    <w:qFormat/>
    <w:uiPriority w:val="0"/>
    <w:pPr>
      <w:jc w:val="both"/>
    </w:pPr>
    <w:rPr>
      <w:rFonts w:ascii="Times New Roman" w:hAnsi="Times New Roman" w:eastAsia="宋体" w:cs="Times New Roman"/>
      <w:lang w:val="en-US" w:eastAsia="zh-CN" w:bidi="ar-SA"/>
    </w:rPr>
  </w:style>
  <w:style w:type="paragraph" w:customStyle="1" w:styleId="57">
    <w:name w:val="标准文件_ICS"/>
    <w:basedOn w:val="1"/>
    <w:qFormat/>
    <w:uiPriority w:val="0"/>
    <w:pPr>
      <w:spacing w:line="0" w:lineRule="atLeast"/>
    </w:pPr>
    <w:rPr>
      <w:rFonts w:ascii="黑体" w:hAnsi="宋体" w:eastAsia="黑体"/>
    </w:rPr>
  </w:style>
  <w:style w:type="paragraph" w:customStyle="1" w:styleId="58">
    <w:name w:val="标准文件_标准正文"/>
    <w:basedOn w:val="1"/>
    <w:next w:val="59"/>
    <w:qFormat/>
    <w:uiPriority w:val="0"/>
    <w:pPr>
      <w:snapToGrid w:val="0"/>
      <w:ind w:firstLine="200" w:firstLineChars="200"/>
    </w:pPr>
    <w:rPr>
      <w:kern w:val="0"/>
    </w:rPr>
  </w:style>
  <w:style w:type="paragraph" w:customStyle="1" w:styleId="59">
    <w:name w:val="标准文件_段"/>
    <w:link w:val="187"/>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0">
    <w:name w:val="标准文件_版本"/>
    <w:basedOn w:val="58"/>
    <w:qFormat/>
    <w:uiPriority w:val="0"/>
    <w:pPr>
      <w:adjustRightInd/>
      <w:snapToGrid/>
      <w:ind w:firstLine="0" w:firstLineChars="0"/>
    </w:pPr>
    <w:rPr>
      <w:rFonts w:ascii="宋体" w:hAnsi="宋体"/>
      <w:kern w:val="2"/>
    </w:rPr>
  </w:style>
  <w:style w:type="paragraph" w:customStyle="1" w:styleId="61">
    <w:name w:val="标准文件_标准部门"/>
    <w:basedOn w:val="1"/>
    <w:qFormat/>
    <w:uiPriority w:val="0"/>
    <w:pPr>
      <w:jc w:val="center"/>
    </w:pPr>
    <w:rPr>
      <w:rFonts w:ascii="黑体" w:eastAsia="黑体"/>
      <w:kern w:val="0"/>
      <w:sz w:val="44"/>
    </w:rPr>
  </w:style>
  <w:style w:type="paragraph" w:customStyle="1" w:styleId="62">
    <w:name w:val="标准文件_标准代替"/>
    <w:basedOn w:val="1"/>
    <w:next w:val="1"/>
    <w:qFormat/>
    <w:uiPriority w:val="0"/>
    <w:pPr>
      <w:spacing w:line="310" w:lineRule="exact"/>
      <w:jc w:val="right"/>
    </w:pPr>
    <w:rPr>
      <w:rFonts w:ascii="宋体" w:hAnsi="宋体"/>
      <w:kern w:val="0"/>
    </w:rPr>
  </w:style>
  <w:style w:type="paragraph" w:customStyle="1" w:styleId="63">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4">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5">
    <w:name w:val="标准文件_页眉偶数页"/>
    <w:basedOn w:val="64"/>
    <w:next w:val="1"/>
    <w:qFormat/>
    <w:uiPriority w:val="0"/>
    <w:pPr>
      <w:jc w:val="left"/>
    </w:pPr>
  </w:style>
  <w:style w:type="paragraph" w:customStyle="1" w:styleId="66">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7">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8">
    <w:name w:val="标准文件_二级条标题"/>
    <w:next w:val="59"/>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9">
    <w:name w:val="标准文件_发布"/>
    <w:qFormat/>
    <w:uiPriority w:val="0"/>
    <w:rPr>
      <w:rFonts w:ascii="黑体" w:eastAsia="黑体"/>
      <w:spacing w:val="0"/>
      <w:w w:val="100"/>
      <w:position w:val="3"/>
      <w:sz w:val="28"/>
    </w:rPr>
  </w:style>
  <w:style w:type="paragraph" w:customStyle="1" w:styleId="70">
    <w:name w:val="标准文件_方框数字列项"/>
    <w:basedOn w:val="59"/>
    <w:qFormat/>
    <w:uiPriority w:val="0"/>
    <w:pPr>
      <w:numPr>
        <w:ilvl w:val="0"/>
        <w:numId w:val="3"/>
      </w:numPr>
      <w:ind w:firstLine="0" w:firstLineChars="0"/>
    </w:pPr>
  </w:style>
  <w:style w:type="paragraph" w:customStyle="1" w:styleId="71">
    <w:name w:val="标准文件_封面标准编号"/>
    <w:basedOn w:val="1"/>
    <w:next w:val="62"/>
    <w:qFormat/>
    <w:uiPriority w:val="0"/>
    <w:pPr>
      <w:spacing w:line="310" w:lineRule="exact"/>
      <w:jc w:val="right"/>
    </w:pPr>
    <w:rPr>
      <w:rFonts w:ascii="黑体" w:eastAsia="黑体"/>
      <w:kern w:val="0"/>
      <w:sz w:val="28"/>
    </w:rPr>
  </w:style>
  <w:style w:type="paragraph" w:customStyle="1" w:styleId="72">
    <w:name w:val="标准文件_封面标准分类号"/>
    <w:basedOn w:val="1"/>
    <w:qFormat/>
    <w:uiPriority w:val="0"/>
    <w:rPr>
      <w:rFonts w:ascii="黑体" w:eastAsia="黑体"/>
      <w:b/>
      <w:kern w:val="0"/>
      <w:sz w:val="28"/>
    </w:rPr>
  </w:style>
  <w:style w:type="paragraph" w:customStyle="1" w:styleId="73">
    <w:name w:val="标准文件_封面标准名称"/>
    <w:basedOn w:val="1"/>
    <w:qFormat/>
    <w:uiPriority w:val="0"/>
    <w:pPr>
      <w:spacing w:line="240" w:lineRule="auto"/>
      <w:jc w:val="center"/>
    </w:pPr>
    <w:rPr>
      <w:rFonts w:ascii="黑体" w:eastAsia="黑体"/>
      <w:kern w:val="0"/>
      <w:sz w:val="52"/>
    </w:rPr>
  </w:style>
  <w:style w:type="paragraph" w:customStyle="1" w:styleId="74">
    <w:name w:val="标准文件_封面标准英文名称"/>
    <w:basedOn w:val="1"/>
    <w:qFormat/>
    <w:uiPriority w:val="0"/>
    <w:pPr>
      <w:spacing w:line="240" w:lineRule="auto"/>
      <w:jc w:val="center"/>
    </w:pPr>
    <w:rPr>
      <w:rFonts w:ascii="黑体" w:eastAsia="黑体"/>
      <w:b/>
      <w:sz w:val="28"/>
    </w:rPr>
  </w:style>
  <w:style w:type="paragraph" w:customStyle="1" w:styleId="75">
    <w:name w:val="标准文件_封面发布日期"/>
    <w:basedOn w:val="1"/>
    <w:qFormat/>
    <w:uiPriority w:val="0"/>
    <w:pPr>
      <w:spacing w:line="310" w:lineRule="exact"/>
    </w:pPr>
    <w:rPr>
      <w:rFonts w:ascii="黑体" w:eastAsia="黑体"/>
      <w:kern w:val="0"/>
      <w:sz w:val="28"/>
    </w:rPr>
  </w:style>
  <w:style w:type="paragraph" w:customStyle="1" w:styleId="76">
    <w:name w:val="标准文件_封面密级"/>
    <w:basedOn w:val="1"/>
    <w:qFormat/>
    <w:uiPriority w:val="0"/>
    <w:rPr>
      <w:rFonts w:eastAsia="黑体"/>
      <w:sz w:val="32"/>
    </w:rPr>
  </w:style>
  <w:style w:type="paragraph" w:customStyle="1" w:styleId="77">
    <w:name w:val="标准文件_封面实施日期"/>
    <w:basedOn w:val="1"/>
    <w:qFormat/>
    <w:uiPriority w:val="0"/>
    <w:pPr>
      <w:spacing w:line="310" w:lineRule="exact"/>
      <w:jc w:val="right"/>
    </w:pPr>
    <w:rPr>
      <w:rFonts w:ascii="黑体" w:eastAsia="黑体"/>
      <w:sz w:val="28"/>
    </w:rPr>
  </w:style>
  <w:style w:type="paragraph" w:customStyle="1" w:styleId="78">
    <w:name w:val="标准文件_封面抬头"/>
    <w:basedOn w:val="59"/>
    <w:qFormat/>
    <w:uiPriority w:val="0"/>
    <w:pPr>
      <w:adjustRightInd w:val="0"/>
      <w:spacing w:line="800" w:lineRule="exact"/>
      <w:ind w:firstLine="0" w:firstLineChars="0"/>
      <w:jc w:val="distribute"/>
    </w:pPr>
    <w:rPr>
      <w:rFonts w:ascii="黑体" w:eastAsia="黑体"/>
      <w:b/>
      <w:sz w:val="64"/>
    </w:rPr>
  </w:style>
  <w:style w:type="paragraph" w:customStyle="1" w:styleId="79">
    <w:name w:val="标准文件_附录标识"/>
    <w:next w:val="59"/>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0">
    <w:name w:val="标准文件_附录表标题"/>
    <w:next w:val="59"/>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1">
    <w:name w:val="标准文件_附录一级条标题"/>
    <w:next w:val="59"/>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2">
    <w:name w:val="标准文件_附录二级条标题"/>
    <w:basedOn w:val="81"/>
    <w:next w:val="59"/>
    <w:qFormat/>
    <w:uiPriority w:val="0"/>
    <w:pPr>
      <w:widowControl/>
      <w:numPr>
        <w:ilvl w:val="2"/>
      </w:numPr>
      <w:wordWrap w:val="0"/>
      <w:overflowPunct w:val="0"/>
      <w:autoSpaceDE w:val="0"/>
      <w:autoSpaceDN w:val="0"/>
      <w:textAlignment w:val="baseline"/>
      <w:outlineLvl w:val="3"/>
    </w:pPr>
  </w:style>
  <w:style w:type="paragraph" w:customStyle="1" w:styleId="83">
    <w:name w:val="标准文件_附录公式"/>
    <w:basedOn w:val="58"/>
    <w:next w:val="58"/>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4">
    <w:name w:val="标准文件_附录三级条标题"/>
    <w:next w:val="59"/>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5">
    <w:name w:val="标准文件_附录四级条标题"/>
    <w:next w:val="59"/>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6">
    <w:name w:val="标准文件_附录图标题"/>
    <w:next w:val="59"/>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7">
    <w:name w:val="标准文件_附录五级条标题"/>
    <w:next w:val="59"/>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8">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9">
    <w:name w:val="正文文本 字符"/>
    <w:link w:val="14"/>
    <w:qFormat/>
    <w:uiPriority w:val="0"/>
    <w:rPr>
      <w:kern w:val="2"/>
      <w:sz w:val="21"/>
      <w:szCs w:val="21"/>
    </w:rPr>
  </w:style>
  <w:style w:type="paragraph" w:customStyle="1" w:styleId="90">
    <w:name w:val="标准文件_附录章标题"/>
    <w:next w:val="59"/>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1">
    <w:name w:val="标准文件_公式后的破折号"/>
    <w:basedOn w:val="59"/>
    <w:next w:val="59"/>
    <w:qFormat/>
    <w:uiPriority w:val="0"/>
    <w:pPr>
      <w:ind w:left="488" w:leftChars="200" w:hanging="289" w:hangingChars="290"/>
    </w:pPr>
  </w:style>
  <w:style w:type="paragraph" w:customStyle="1" w:styleId="92">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3">
    <w:name w:val="标准文件_目次、标准名称标题"/>
    <w:basedOn w:val="92"/>
    <w:next w:val="59"/>
    <w:qFormat/>
    <w:uiPriority w:val="0"/>
    <w:pPr>
      <w:spacing w:line="460" w:lineRule="exact"/>
      <w:ind w:left="0" w:firstLine="0"/>
    </w:pPr>
  </w:style>
  <w:style w:type="paragraph" w:customStyle="1" w:styleId="94">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5">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6">
    <w:name w:val="标准文件_破折号列项（二级）"/>
    <w:basedOn w:val="95"/>
    <w:qFormat/>
    <w:uiPriority w:val="0"/>
    <w:pPr>
      <w:numPr>
        <w:numId w:val="10"/>
      </w:numPr>
    </w:pPr>
  </w:style>
  <w:style w:type="paragraph" w:customStyle="1" w:styleId="97">
    <w:name w:val="标准文件_三级条标题"/>
    <w:basedOn w:val="68"/>
    <w:next w:val="59"/>
    <w:qFormat/>
    <w:uiPriority w:val="0"/>
    <w:pPr>
      <w:widowControl/>
      <w:numPr>
        <w:ilvl w:val="4"/>
      </w:numPr>
      <w:outlineLvl w:val="3"/>
    </w:pPr>
  </w:style>
  <w:style w:type="character" w:customStyle="1" w:styleId="98">
    <w:name w:val="不明显参考1"/>
    <w:qFormat/>
    <w:uiPriority w:val="31"/>
    <w:rPr>
      <w:smallCaps/>
      <w:color w:val="C0504D"/>
      <w:u w:val="single"/>
    </w:rPr>
  </w:style>
  <w:style w:type="paragraph" w:customStyle="1" w:styleId="99">
    <w:name w:val="标准文件_示例后续"/>
    <w:basedOn w:val="1"/>
    <w:qFormat/>
    <w:uiPriority w:val="0"/>
    <w:pPr>
      <w:adjustRightInd/>
      <w:spacing w:line="240" w:lineRule="auto"/>
      <w:ind w:firstLine="200" w:firstLineChars="200"/>
    </w:pPr>
    <w:rPr>
      <w:sz w:val="18"/>
      <w:szCs w:val="24"/>
    </w:rPr>
  </w:style>
  <w:style w:type="paragraph" w:customStyle="1" w:styleId="100">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1">
    <w:name w:val="标准文件_四级条标题"/>
    <w:next w:val="59"/>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2">
    <w:name w:val="脚注文本 字符"/>
    <w:link w:val="22"/>
    <w:semiHidden/>
    <w:qFormat/>
    <w:uiPriority w:val="0"/>
    <w:rPr>
      <w:rFonts w:ascii="宋体"/>
      <w:kern w:val="2"/>
      <w:sz w:val="18"/>
      <w:szCs w:val="18"/>
    </w:rPr>
  </w:style>
  <w:style w:type="paragraph" w:customStyle="1" w:styleId="103">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4">
    <w:name w:val="标准文件_图表脚注"/>
    <w:basedOn w:val="1"/>
    <w:next w:val="59"/>
    <w:qFormat/>
    <w:uiPriority w:val="0"/>
    <w:pPr>
      <w:numPr>
        <w:ilvl w:val="0"/>
        <w:numId w:val="12"/>
      </w:numPr>
      <w:spacing w:line="240" w:lineRule="auto"/>
      <w:jc w:val="left"/>
    </w:pPr>
    <w:rPr>
      <w:rFonts w:ascii="宋体" w:hAnsi="宋体"/>
      <w:sz w:val="18"/>
    </w:rPr>
  </w:style>
  <w:style w:type="character" w:customStyle="1" w:styleId="105">
    <w:name w:val="标准文件_图表脚注内容"/>
    <w:qFormat/>
    <w:uiPriority w:val="0"/>
    <w:rPr>
      <w:rFonts w:ascii="宋体" w:hAnsi="宋体" w:eastAsia="宋体" w:cs="Times New Roman"/>
      <w:spacing w:val="0"/>
      <w:sz w:val="18"/>
      <w:vertAlign w:val="superscript"/>
    </w:rPr>
  </w:style>
  <w:style w:type="paragraph" w:customStyle="1" w:styleId="106">
    <w:name w:val="标准文件_五级条标题"/>
    <w:next w:val="59"/>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7">
    <w:name w:val="标准文件_章标题"/>
    <w:next w:val="59"/>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8">
    <w:name w:val="标准文件_一级条标题"/>
    <w:basedOn w:val="107"/>
    <w:next w:val="59"/>
    <w:qFormat/>
    <w:uiPriority w:val="0"/>
    <w:pPr>
      <w:numPr>
        <w:ilvl w:val="2"/>
      </w:numPr>
      <w:spacing w:before="50" w:beforeLines="50" w:after="50" w:afterLines="50"/>
      <w:outlineLvl w:val="1"/>
    </w:pPr>
  </w:style>
  <w:style w:type="paragraph" w:customStyle="1" w:styleId="109">
    <w:name w:val="标准文件_一致程度"/>
    <w:basedOn w:val="1"/>
    <w:qFormat/>
    <w:uiPriority w:val="0"/>
    <w:pPr>
      <w:spacing w:line="440" w:lineRule="exact"/>
      <w:jc w:val="center"/>
    </w:pPr>
    <w:rPr>
      <w:sz w:val="28"/>
    </w:rPr>
  </w:style>
  <w:style w:type="paragraph" w:customStyle="1" w:styleId="110">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1">
    <w:name w:val="标准文件_英文图表脚注"/>
    <w:basedOn w:val="58"/>
    <w:qFormat/>
    <w:uiPriority w:val="0"/>
    <w:pPr>
      <w:widowControl/>
      <w:adjustRightInd/>
      <w:snapToGrid/>
      <w:spacing w:line="240" w:lineRule="auto"/>
      <w:ind w:left="79" w:hanging="79" w:hangingChars="80"/>
    </w:pPr>
    <w:rPr>
      <w:rFonts w:ascii="宋体" w:hAnsi="宋体"/>
    </w:rPr>
  </w:style>
  <w:style w:type="paragraph" w:customStyle="1" w:styleId="112">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3">
    <w:name w:val="标准文件_英文注："/>
    <w:basedOn w:val="1"/>
    <w:next w:val="59"/>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4">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5">
    <w:name w:val="标准文件_正文表标题"/>
    <w:next w:val="59"/>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公式"/>
    <w:basedOn w:val="1"/>
    <w:next w:val="58"/>
    <w:qFormat/>
    <w:uiPriority w:val="0"/>
    <w:pPr>
      <w:tabs>
        <w:tab w:val="center" w:pos="4678"/>
        <w:tab w:val="right" w:leader="middleDot" w:pos="9356"/>
      </w:tabs>
      <w:spacing w:line="240" w:lineRule="auto"/>
    </w:pPr>
    <w:rPr>
      <w:rFonts w:ascii="宋体" w:hAnsi="宋体"/>
    </w:rPr>
  </w:style>
  <w:style w:type="paragraph" w:customStyle="1" w:styleId="117">
    <w:name w:val="标准文件_正文图标题"/>
    <w:next w:val="59"/>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8">
    <w:name w:val="标准文件_正文英文表标题"/>
    <w:next w:val="59"/>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9">
    <w:name w:val="标准文件_正文英文图标题"/>
    <w:next w:val="59"/>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0">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1">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2">
    <w:name w:val="发布部门"/>
    <w:next w:val="59"/>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3">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4">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5">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6">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7">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8">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9">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0">
    <w:name w:val="封面正文"/>
    <w:qFormat/>
    <w:uiPriority w:val="0"/>
    <w:pPr>
      <w:jc w:val="both"/>
    </w:pPr>
    <w:rPr>
      <w:rFonts w:ascii="Times New Roman" w:hAnsi="Times New Roman" w:eastAsia="宋体" w:cs="Times New Roman"/>
      <w:lang w:val="en-US" w:eastAsia="zh-CN" w:bidi="ar-SA"/>
    </w:rPr>
  </w:style>
  <w:style w:type="paragraph" w:customStyle="1" w:styleId="131">
    <w:name w:val="附录二级无标题条"/>
    <w:basedOn w:val="1"/>
    <w:next w:val="59"/>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2">
    <w:name w:val="附录三级无标题条"/>
    <w:basedOn w:val="131"/>
    <w:next w:val="59"/>
    <w:qFormat/>
    <w:uiPriority w:val="0"/>
    <w:pPr>
      <w:outlineLvl w:val="4"/>
    </w:pPr>
  </w:style>
  <w:style w:type="paragraph" w:customStyle="1" w:styleId="133">
    <w:name w:val="附录四级无标题条"/>
    <w:basedOn w:val="132"/>
    <w:next w:val="59"/>
    <w:qFormat/>
    <w:uiPriority w:val="0"/>
    <w:pPr>
      <w:outlineLvl w:val="5"/>
    </w:pPr>
  </w:style>
  <w:style w:type="paragraph" w:customStyle="1" w:styleId="134">
    <w:name w:val="附录图"/>
    <w:next w:val="59"/>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5">
    <w:name w:val="标准文件_一级项"/>
    <w:qFormat/>
    <w:uiPriority w:val="0"/>
    <w:rPr>
      <w:rFonts w:ascii="宋体" w:hAnsi="Times New Roman" w:eastAsia="宋体" w:cs="Times New Roman"/>
      <w:sz w:val="21"/>
      <w:lang w:val="en-US" w:eastAsia="zh-CN" w:bidi="ar-SA"/>
    </w:rPr>
  </w:style>
  <w:style w:type="paragraph" w:customStyle="1" w:styleId="136">
    <w:name w:val="附录五级无标题条"/>
    <w:basedOn w:val="133"/>
    <w:next w:val="59"/>
    <w:qFormat/>
    <w:uiPriority w:val="0"/>
    <w:pPr>
      <w:outlineLvl w:val="6"/>
    </w:pPr>
  </w:style>
  <w:style w:type="paragraph" w:customStyle="1" w:styleId="137">
    <w:name w:val="附录性质"/>
    <w:basedOn w:val="1"/>
    <w:qFormat/>
    <w:uiPriority w:val="0"/>
    <w:pPr>
      <w:widowControl/>
      <w:adjustRightInd/>
      <w:jc w:val="center"/>
    </w:pPr>
    <w:rPr>
      <w:rFonts w:ascii="黑体" w:eastAsia="黑体"/>
    </w:rPr>
  </w:style>
  <w:style w:type="paragraph" w:customStyle="1" w:styleId="138">
    <w:name w:val="附录一级无标题条"/>
    <w:basedOn w:val="90"/>
    <w:next w:val="59"/>
    <w:qFormat/>
    <w:uiPriority w:val="0"/>
    <w:pPr>
      <w:autoSpaceDN w:val="0"/>
      <w:outlineLvl w:val="2"/>
    </w:pPr>
    <w:rPr>
      <w:rFonts w:ascii="宋体" w:hAnsi="宋体" w:eastAsia="宋体"/>
    </w:rPr>
  </w:style>
  <w:style w:type="character" w:customStyle="1" w:styleId="139">
    <w:name w:val="个人答复风格"/>
    <w:qFormat/>
    <w:uiPriority w:val="0"/>
    <w:rPr>
      <w:rFonts w:ascii="Arial" w:hAnsi="Arial" w:eastAsia="宋体" w:cs="Arial"/>
      <w:color w:val="auto"/>
      <w:spacing w:val="0"/>
      <w:sz w:val="20"/>
    </w:rPr>
  </w:style>
  <w:style w:type="character" w:customStyle="1" w:styleId="140">
    <w:name w:val="个人撰写风格"/>
    <w:qFormat/>
    <w:uiPriority w:val="0"/>
    <w:rPr>
      <w:rFonts w:ascii="Arial" w:hAnsi="Arial" w:eastAsia="宋体" w:cs="Arial"/>
      <w:color w:val="auto"/>
      <w:spacing w:val="0"/>
      <w:sz w:val="20"/>
    </w:rPr>
  </w:style>
  <w:style w:type="paragraph" w:customStyle="1" w:styleId="141">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2">
    <w:name w:val="列项——"/>
    <w:qFormat/>
    <w:uiPriority w:val="0"/>
    <w:pPr>
      <w:widowControl w:val="0"/>
      <w:numPr>
        <w:ilvl w:val="0"/>
        <w:numId w:val="21"/>
      </w:numPr>
      <w:jc w:val="both"/>
    </w:pPr>
    <w:rPr>
      <w:rFonts w:ascii="宋体" w:hAnsi="宋体" w:eastAsia="宋体" w:cs="Times New Roman"/>
      <w:sz w:val="21"/>
      <w:lang w:val="en-US" w:eastAsia="zh-CN" w:bidi="ar-SA"/>
    </w:rPr>
  </w:style>
  <w:style w:type="paragraph" w:customStyle="1" w:styleId="143">
    <w:name w:val="列项·"/>
    <w:basedOn w:val="59"/>
    <w:qFormat/>
    <w:uiPriority w:val="0"/>
    <w:pPr>
      <w:tabs>
        <w:tab w:val="left" w:pos="840"/>
      </w:tabs>
    </w:pPr>
  </w:style>
  <w:style w:type="paragraph" w:customStyle="1" w:styleId="144">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5">
    <w:name w:val="目录 21"/>
    <w:basedOn w:val="1"/>
    <w:next w:val="1"/>
    <w:semiHidden/>
    <w:qFormat/>
    <w:uiPriority w:val="0"/>
    <w:pPr>
      <w:adjustRightInd/>
      <w:spacing w:line="240" w:lineRule="auto"/>
      <w:jc w:val="left"/>
    </w:pPr>
    <w:rPr>
      <w:bCs/>
      <w:iCs/>
    </w:rPr>
  </w:style>
  <w:style w:type="paragraph" w:customStyle="1" w:styleId="146">
    <w:name w:val="目录 31"/>
    <w:basedOn w:val="1"/>
    <w:next w:val="1"/>
    <w:semiHidden/>
    <w:qFormat/>
    <w:uiPriority w:val="0"/>
    <w:pPr>
      <w:spacing w:line="240" w:lineRule="auto"/>
    </w:pPr>
    <w:rPr>
      <w:rFonts w:ascii="宋体" w:hAnsi="宋体"/>
      <w:iCs/>
    </w:rPr>
  </w:style>
  <w:style w:type="paragraph" w:customStyle="1" w:styleId="147">
    <w:name w:val="目录 41"/>
    <w:basedOn w:val="1"/>
    <w:next w:val="1"/>
    <w:semiHidden/>
    <w:qFormat/>
    <w:uiPriority w:val="0"/>
    <w:pPr>
      <w:adjustRightInd/>
      <w:spacing w:line="240" w:lineRule="auto"/>
      <w:jc w:val="left"/>
    </w:pPr>
  </w:style>
  <w:style w:type="paragraph" w:customStyle="1" w:styleId="148">
    <w:name w:val="目录 51"/>
    <w:basedOn w:val="1"/>
    <w:next w:val="1"/>
    <w:semiHidden/>
    <w:qFormat/>
    <w:uiPriority w:val="0"/>
    <w:pPr>
      <w:spacing w:line="240" w:lineRule="auto"/>
    </w:pPr>
    <w:rPr>
      <w:rFonts w:ascii="宋体" w:hAnsi="宋体"/>
    </w:rPr>
  </w:style>
  <w:style w:type="paragraph" w:customStyle="1" w:styleId="149">
    <w:name w:val="目录 61"/>
    <w:basedOn w:val="1"/>
    <w:next w:val="1"/>
    <w:semiHidden/>
    <w:qFormat/>
    <w:uiPriority w:val="0"/>
    <w:pPr>
      <w:adjustRightInd/>
      <w:spacing w:line="240" w:lineRule="auto"/>
      <w:jc w:val="left"/>
    </w:pPr>
  </w:style>
  <w:style w:type="paragraph" w:customStyle="1" w:styleId="150">
    <w:name w:val="目录 71"/>
    <w:basedOn w:val="149"/>
    <w:semiHidden/>
    <w:qFormat/>
    <w:uiPriority w:val="0"/>
    <w:pPr>
      <w:ind w:left="1260"/>
    </w:pPr>
  </w:style>
  <w:style w:type="paragraph" w:customStyle="1" w:styleId="151">
    <w:name w:val="目录 81"/>
    <w:basedOn w:val="150"/>
    <w:semiHidden/>
    <w:qFormat/>
    <w:uiPriority w:val="0"/>
    <w:pPr>
      <w:ind w:left="1470"/>
    </w:pPr>
  </w:style>
  <w:style w:type="paragraph" w:customStyle="1" w:styleId="152">
    <w:name w:val="目录 91"/>
    <w:basedOn w:val="151"/>
    <w:semiHidden/>
    <w:qFormat/>
    <w:uiPriority w:val="0"/>
    <w:pPr>
      <w:ind w:left="1680"/>
    </w:pPr>
  </w:style>
  <w:style w:type="paragraph" w:customStyle="1" w:styleId="153">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4">
    <w:name w:val="其他发布部门"/>
    <w:basedOn w:val="122"/>
    <w:qFormat/>
    <w:uiPriority w:val="0"/>
    <w:pPr>
      <w:framePr w:wrap="around"/>
      <w:spacing w:line="0" w:lineRule="atLeast"/>
    </w:pPr>
    <w:rPr>
      <w:rFonts w:ascii="黑体" w:eastAsia="黑体"/>
      <w:b w:val="0"/>
    </w:rPr>
  </w:style>
  <w:style w:type="paragraph" w:customStyle="1" w:styleId="155">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6">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7">
    <w:name w:val="实施日期"/>
    <w:basedOn w:val="123"/>
    <w:qFormat/>
    <w:uiPriority w:val="0"/>
    <w:pPr>
      <w:framePr w:hSpace="0" w:wrap="around" w:xAlign="right"/>
      <w:jc w:val="right"/>
    </w:pPr>
  </w:style>
  <w:style w:type="paragraph" w:customStyle="1" w:styleId="158">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9">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0">
    <w:name w:val="无标题条"/>
    <w:next w:val="59"/>
    <w:qFormat/>
    <w:uiPriority w:val="0"/>
    <w:pPr>
      <w:jc w:val="both"/>
    </w:pPr>
    <w:rPr>
      <w:rFonts w:ascii="宋体" w:hAnsi="宋体" w:eastAsia="宋体" w:cs="Times New Roman"/>
      <w:sz w:val="21"/>
      <w:lang w:val="en-US" w:eastAsia="zh-CN" w:bidi="ar-SA"/>
    </w:rPr>
  </w:style>
  <w:style w:type="paragraph" w:customStyle="1" w:styleId="161">
    <w:name w:val="五级无标题条"/>
    <w:basedOn w:val="1"/>
    <w:qFormat/>
    <w:uiPriority w:val="0"/>
    <w:pPr>
      <w:numPr>
        <w:ilvl w:val="6"/>
        <w:numId w:val="20"/>
      </w:numPr>
      <w:adjustRightInd/>
    </w:pPr>
    <w:rPr>
      <w:szCs w:val="24"/>
    </w:rPr>
  </w:style>
  <w:style w:type="paragraph" w:customStyle="1" w:styleId="162">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3">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4">
    <w:name w:val="注×:后续"/>
    <w:basedOn w:val="163"/>
    <w:qFormat/>
    <w:uiPriority w:val="0"/>
    <w:pPr>
      <w:ind w:left="1406" w:leftChars="0" w:hanging="499" w:firstLineChars="0"/>
    </w:pPr>
  </w:style>
  <w:style w:type="paragraph" w:customStyle="1" w:styleId="165">
    <w:name w:val="标准文件_一级无标题"/>
    <w:basedOn w:val="108"/>
    <w:qFormat/>
    <w:uiPriority w:val="0"/>
    <w:pPr>
      <w:spacing w:before="0" w:beforeLines="0" w:after="0" w:afterLines="0"/>
      <w:outlineLvl w:val="9"/>
    </w:pPr>
    <w:rPr>
      <w:rFonts w:ascii="宋体" w:eastAsia="宋体"/>
    </w:rPr>
  </w:style>
  <w:style w:type="paragraph" w:customStyle="1" w:styleId="166">
    <w:name w:val="标准文件_五级无标题"/>
    <w:basedOn w:val="106"/>
    <w:qFormat/>
    <w:uiPriority w:val="0"/>
    <w:pPr>
      <w:spacing w:before="0" w:beforeLines="0" w:after="0" w:afterLines="0"/>
      <w:outlineLvl w:val="9"/>
    </w:pPr>
    <w:rPr>
      <w:rFonts w:ascii="宋体" w:eastAsia="宋体"/>
    </w:rPr>
  </w:style>
  <w:style w:type="paragraph" w:customStyle="1" w:styleId="167">
    <w:name w:val="标准文件_三级无标题"/>
    <w:basedOn w:val="97"/>
    <w:qFormat/>
    <w:uiPriority w:val="0"/>
    <w:pPr>
      <w:spacing w:before="0" w:beforeLines="0" w:after="0" w:afterLines="0"/>
      <w:outlineLvl w:val="9"/>
    </w:pPr>
    <w:rPr>
      <w:rFonts w:ascii="宋体" w:eastAsia="宋体"/>
    </w:rPr>
  </w:style>
  <w:style w:type="paragraph" w:customStyle="1" w:styleId="168">
    <w:name w:val="标准文件_二级无标题"/>
    <w:basedOn w:val="68"/>
    <w:qFormat/>
    <w:uiPriority w:val="0"/>
    <w:pPr>
      <w:spacing w:before="0" w:beforeLines="0" w:after="0" w:afterLines="0"/>
      <w:outlineLvl w:val="9"/>
    </w:pPr>
    <w:rPr>
      <w:rFonts w:ascii="宋体" w:eastAsia="宋体"/>
    </w:rPr>
  </w:style>
  <w:style w:type="paragraph" w:customStyle="1" w:styleId="169">
    <w:name w:val="标准_四级无标题"/>
    <w:basedOn w:val="101"/>
    <w:next w:val="59"/>
    <w:qFormat/>
    <w:uiPriority w:val="0"/>
    <w:rPr>
      <w:rFonts w:eastAsia="宋体"/>
    </w:rPr>
  </w:style>
  <w:style w:type="paragraph" w:customStyle="1" w:styleId="170">
    <w:name w:val="标准文件_四级无标题"/>
    <w:basedOn w:val="101"/>
    <w:qFormat/>
    <w:uiPriority w:val="0"/>
    <w:pPr>
      <w:spacing w:before="0" w:beforeLines="0" w:after="0" w:afterLines="0"/>
      <w:outlineLvl w:val="9"/>
    </w:pPr>
    <w:rPr>
      <w:rFonts w:ascii="宋体" w:hAnsi="黑体" w:eastAsia="宋体"/>
      <w:szCs w:val="52"/>
    </w:rPr>
  </w:style>
  <w:style w:type="paragraph" w:customStyle="1" w:styleId="171">
    <w:name w:val="标准文件_大写罗马数字编号列项"/>
    <w:basedOn w:val="59"/>
    <w:qFormat/>
    <w:uiPriority w:val="0"/>
    <w:pPr>
      <w:numPr>
        <w:ilvl w:val="0"/>
        <w:numId w:val="22"/>
      </w:numPr>
      <w:ind w:firstLine="0" w:firstLineChars="0"/>
    </w:pPr>
    <w:rPr>
      <w:rFonts w:ascii="Times New Roman" w:cs="Arial"/>
      <w:szCs w:val="28"/>
    </w:rPr>
  </w:style>
  <w:style w:type="paragraph" w:customStyle="1" w:styleId="172">
    <w:name w:val="标准文件_小写罗马数字编号列项"/>
    <w:basedOn w:val="59"/>
    <w:qFormat/>
    <w:uiPriority w:val="0"/>
    <w:pPr>
      <w:numPr>
        <w:ilvl w:val="0"/>
        <w:numId w:val="23"/>
      </w:numPr>
      <w:ind w:firstLine="0" w:firstLineChars="0"/>
    </w:pPr>
    <w:rPr>
      <w:rFonts w:cs="Arial"/>
      <w:szCs w:val="28"/>
    </w:rPr>
  </w:style>
  <w:style w:type="paragraph" w:customStyle="1" w:styleId="173">
    <w:name w:val="标准文件_附录标题"/>
    <w:basedOn w:val="79"/>
    <w:qFormat/>
    <w:uiPriority w:val="0"/>
    <w:pPr>
      <w:numPr>
        <w:numId w:val="0"/>
      </w:numPr>
      <w:spacing w:after="280"/>
      <w:outlineLvl w:val="9"/>
    </w:pPr>
  </w:style>
  <w:style w:type="paragraph" w:customStyle="1" w:styleId="174">
    <w:name w:val="标准文件_二级项"/>
    <w:qFormat/>
    <w:uiPriority w:val="0"/>
    <w:rPr>
      <w:rFonts w:ascii="宋体" w:hAnsi="Times New Roman" w:eastAsia="宋体" w:cs="Times New Roman"/>
      <w:sz w:val="21"/>
      <w:lang w:val="en-US" w:eastAsia="zh-CN" w:bidi="ar-SA"/>
    </w:rPr>
  </w:style>
  <w:style w:type="paragraph" w:customStyle="1" w:styleId="175">
    <w:name w:val="标准文件_三级项"/>
    <w:basedOn w:val="1"/>
    <w:qFormat/>
    <w:uiPriority w:val="0"/>
    <w:pPr>
      <w:spacing w:line="536870612" w:lineRule="auto"/>
    </w:pPr>
    <w:rPr>
      <w:rFonts w:ascii="Times New Roman" w:hAnsi="Times New Roman"/>
    </w:rPr>
  </w:style>
  <w:style w:type="paragraph" w:customStyle="1" w:styleId="176">
    <w:name w:val="图表脚注说明"/>
    <w:basedOn w:val="1"/>
    <w:next w:val="59"/>
    <w:qFormat/>
    <w:uiPriority w:val="0"/>
    <w:pPr>
      <w:numPr>
        <w:ilvl w:val="0"/>
        <w:numId w:val="24"/>
      </w:numPr>
      <w:adjustRightInd/>
      <w:spacing w:line="240" w:lineRule="auto"/>
    </w:pPr>
    <w:rPr>
      <w:rFonts w:ascii="宋体" w:hAnsi="Times New Roman"/>
      <w:sz w:val="18"/>
      <w:szCs w:val="18"/>
    </w:rPr>
  </w:style>
  <w:style w:type="paragraph" w:customStyle="1" w:styleId="177">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8">
    <w:name w:val="标准文件_索引字母"/>
    <w:next w:val="59"/>
    <w:qFormat/>
    <w:uiPriority w:val="0"/>
    <w:pPr>
      <w:jc w:val="center"/>
    </w:pPr>
    <w:rPr>
      <w:rFonts w:ascii="宋体" w:hAnsi="宋体" w:eastAsia="Times New Roman" w:cs="Times New Roman"/>
      <w:b/>
      <w:kern w:val="2"/>
      <w:sz w:val="21"/>
      <w:lang w:val="en-US" w:eastAsia="zh-CN" w:bidi="ar-SA"/>
    </w:rPr>
  </w:style>
  <w:style w:type="paragraph" w:customStyle="1" w:styleId="179">
    <w:name w:val="标准文件_附录前"/>
    <w:next w:val="59"/>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0">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1">
    <w:name w:val="标准文件_表格"/>
    <w:basedOn w:val="59"/>
    <w:qFormat/>
    <w:uiPriority w:val="0"/>
    <w:pPr>
      <w:ind w:firstLine="0" w:firstLineChars="0"/>
      <w:jc w:val="center"/>
    </w:pPr>
    <w:rPr>
      <w:sz w:val="18"/>
    </w:rPr>
  </w:style>
  <w:style w:type="paragraph" w:customStyle="1" w:styleId="182">
    <w:name w:val="标准文件_注："/>
    <w:next w:val="59"/>
    <w:qFormat/>
    <w:uiPriority w:val="0"/>
    <w:pPr>
      <w:widowControl w:val="0"/>
      <w:numPr>
        <w:ilvl w:val="0"/>
        <w:numId w:val="25"/>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注×："/>
    <w:qFormat/>
    <w:uiPriority w:val="0"/>
    <w:pPr>
      <w:widowControl w:val="0"/>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示例："/>
    <w:next w:val="185"/>
    <w:qFormat/>
    <w:uiPriority w:val="0"/>
    <w:pPr>
      <w:widowControl w:val="0"/>
      <w:numPr>
        <w:ilvl w:val="0"/>
        <w:numId w:val="26"/>
      </w:numPr>
      <w:jc w:val="both"/>
    </w:pPr>
    <w:rPr>
      <w:rFonts w:ascii="宋体" w:hAnsi="Times New Roman" w:eastAsia="宋体" w:cs="Times New Roman"/>
      <w:sz w:val="18"/>
      <w:szCs w:val="18"/>
      <w:lang w:val="en-US" w:eastAsia="zh-CN" w:bidi="ar-SA"/>
    </w:rPr>
  </w:style>
  <w:style w:type="paragraph" w:customStyle="1" w:styleId="185">
    <w:name w:val="标准文件_示例内容"/>
    <w:basedOn w:val="59"/>
    <w:qFormat/>
    <w:uiPriority w:val="0"/>
    <w:pPr>
      <w:ind w:firstLine="420"/>
    </w:pPr>
    <w:rPr>
      <w:sz w:val="18"/>
    </w:rPr>
  </w:style>
  <w:style w:type="paragraph" w:customStyle="1" w:styleId="186">
    <w:name w:val="标准文件_示例×："/>
    <w:basedOn w:val="1"/>
    <w:next w:val="185"/>
    <w:qFormat/>
    <w:uiPriority w:val="0"/>
    <w:pPr>
      <w:widowControl/>
      <w:numPr>
        <w:ilvl w:val="0"/>
        <w:numId w:val="27"/>
      </w:numPr>
      <w:adjustRightInd/>
      <w:spacing w:line="240" w:lineRule="auto"/>
    </w:pPr>
    <w:rPr>
      <w:rFonts w:ascii="宋体" w:hAnsi="Times New Roman"/>
      <w:kern w:val="0"/>
      <w:sz w:val="18"/>
      <w:szCs w:val="18"/>
    </w:rPr>
  </w:style>
  <w:style w:type="character" w:customStyle="1" w:styleId="187">
    <w:name w:val="标准文件_段 Char"/>
    <w:link w:val="59"/>
    <w:qFormat/>
    <w:uiPriority w:val="0"/>
    <w:rPr>
      <w:rFonts w:ascii="宋体" w:hAnsi="Times New Roman"/>
      <w:sz w:val="21"/>
    </w:rPr>
  </w:style>
  <w:style w:type="paragraph" w:customStyle="1" w:styleId="188">
    <w:name w:val="标准文件_表格续"/>
    <w:basedOn w:val="59"/>
    <w:next w:val="59"/>
    <w:qFormat/>
    <w:uiPriority w:val="0"/>
    <w:pPr>
      <w:jc w:val="center"/>
    </w:pPr>
    <w:rPr>
      <w:rFonts w:ascii="黑体" w:hAnsi="黑体" w:eastAsia="黑体"/>
    </w:rPr>
  </w:style>
  <w:style w:type="character" w:styleId="189">
    <w:name w:val="Placeholder Text"/>
    <w:basedOn w:val="30"/>
    <w:semiHidden/>
    <w:qFormat/>
    <w:uiPriority w:val="99"/>
    <w:rPr>
      <w:color w:val="808080"/>
    </w:rPr>
  </w:style>
  <w:style w:type="paragraph" w:customStyle="1" w:styleId="190">
    <w:name w:val="标准文件_二级项2"/>
    <w:basedOn w:val="59"/>
    <w:qFormat/>
    <w:uiPriority w:val="0"/>
    <w:pPr>
      <w:ind w:firstLine="0" w:firstLineChars="0"/>
    </w:pPr>
  </w:style>
  <w:style w:type="paragraph" w:customStyle="1" w:styleId="191">
    <w:name w:val="标准文件_三级项2"/>
    <w:basedOn w:val="59"/>
    <w:qFormat/>
    <w:uiPriority w:val="0"/>
    <w:pPr>
      <w:numPr>
        <w:ilvl w:val="0"/>
        <w:numId w:val="28"/>
      </w:numPr>
      <w:spacing w:line="300" w:lineRule="exact"/>
      <w:ind w:firstLineChars="0"/>
    </w:pPr>
    <w:rPr>
      <w:rFonts w:ascii="Times New Roman"/>
    </w:rPr>
  </w:style>
  <w:style w:type="paragraph" w:customStyle="1" w:styleId="192">
    <w:name w:val="标准文件_一级项2"/>
    <w:basedOn w:val="59"/>
    <w:qFormat/>
    <w:uiPriority w:val="0"/>
    <w:pPr>
      <w:numPr>
        <w:ilvl w:val="0"/>
        <w:numId w:val="29"/>
      </w:numPr>
      <w:spacing w:line="300" w:lineRule="exact"/>
      <w:ind w:firstLineChars="0"/>
    </w:pPr>
    <w:rPr>
      <w:rFonts w:ascii="Times New Roman"/>
    </w:rPr>
  </w:style>
  <w:style w:type="paragraph" w:customStyle="1" w:styleId="193">
    <w:name w:val="标准文件_提示"/>
    <w:basedOn w:val="59"/>
    <w:next w:val="59"/>
    <w:qFormat/>
    <w:uiPriority w:val="0"/>
    <w:pPr>
      <w:ind w:firstLine="420"/>
    </w:pPr>
    <w:rPr>
      <w:rFonts w:ascii="黑体" w:eastAsia="黑体"/>
    </w:rPr>
  </w:style>
  <w:style w:type="character" w:customStyle="1" w:styleId="194">
    <w:name w:val="标准文件_来源"/>
    <w:basedOn w:val="30"/>
    <w:qFormat/>
    <w:uiPriority w:val="1"/>
    <w:rPr>
      <w:rFonts w:eastAsia="宋体"/>
      <w:sz w:val="21"/>
    </w:rPr>
  </w:style>
  <w:style w:type="paragraph" w:customStyle="1" w:styleId="195">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6">
    <w:name w:val="其他发布日期"/>
    <w:basedOn w:val="123"/>
    <w:qFormat/>
    <w:uiPriority w:val="0"/>
    <w:pPr>
      <w:framePr w:w="3997" w:h="471" w:hRule="exact" w:hSpace="0" w:vSpace="181" w:wrap="around" w:vAnchor="page" w:hAnchor="page" w:x="1419" w:y="14097"/>
    </w:pPr>
  </w:style>
  <w:style w:type="paragraph" w:customStyle="1" w:styleId="197">
    <w:name w:val="其他实施日期"/>
    <w:basedOn w:val="157"/>
    <w:qFormat/>
    <w:uiPriority w:val="0"/>
    <w:pPr>
      <w:framePr w:w="3997" w:h="471" w:hRule="exact" w:vSpace="181" w:wrap="around" w:vAnchor="page" w:hAnchor="page" w:x="7089" w:y="14097"/>
    </w:pPr>
  </w:style>
  <w:style w:type="paragraph" w:customStyle="1" w:styleId="198">
    <w:name w:val="标准文件_文件编号"/>
    <w:basedOn w:val="59"/>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9">
    <w:name w:val="标准文件_替换文件编号"/>
    <w:basedOn w:val="198"/>
    <w:qFormat/>
    <w:uiPriority w:val="0"/>
    <w:pPr>
      <w:spacing w:before="57"/>
    </w:pPr>
    <w:rPr>
      <w:sz w:val="21"/>
    </w:rPr>
  </w:style>
  <w:style w:type="paragraph" w:customStyle="1" w:styleId="200">
    <w:name w:val="标准文件_文件名称"/>
    <w:basedOn w:val="59"/>
    <w:next w:val="59"/>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1">
    <w:name w:val="标准文件_附录图标号"/>
    <w:basedOn w:val="59"/>
    <w:next w:val="59"/>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2">
    <w:name w:val="标准文件_附录表标号"/>
    <w:basedOn w:val="59"/>
    <w:next w:val="59"/>
    <w:qFormat/>
    <w:uiPriority w:val="0"/>
    <w:pPr>
      <w:numPr>
        <w:ilvl w:val="0"/>
        <w:numId w:val="5"/>
      </w:numPr>
      <w:spacing w:line="14" w:lineRule="exact"/>
      <w:ind w:firstLine="0" w:firstLineChars="0"/>
      <w:jc w:val="center"/>
    </w:pPr>
    <w:rPr>
      <w:rFonts w:eastAsia="黑体"/>
      <w:vanish/>
      <w:sz w:val="2"/>
    </w:rPr>
  </w:style>
  <w:style w:type="paragraph" w:customStyle="1" w:styleId="203">
    <w:name w:val="标准文件_引言一级条标题"/>
    <w:basedOn w:val="59"/>
    <w:next w:val="59"/>
    <w:qFormat/>
    <w:uiPriority w:val="0"/>
    <w:pPr>
      <w:numPr>
        <w:ilvl w:val="1"/>
        <w:numId w:val="8"/>
      </w:numPr>
      <w:spacing w:before="50" w:beforeLines="50" w:after="50" w:afterLines="50"/>
      <w:ind w:firstLineChars="0"/>
    </w:pPr>
    <w:rPr>
      <w:rFonts w:ascii="黑体" w:eastAsia="黑体"/>
    </w:rPr>
  </w:style>
  <w:style w:type="paragraph" w:customStyle="1" w:styleId="204">
    <w:name w:val="标准文件_引言二级条标题"/>
    <w:basedOn w:val="59"/>
    <w:next w:val="59"/>
    <w:qFormat/>
    <w:uiPriority w:val="0"/>
    <w:pPr>
      <w:numPr>
        <w:ilvl w:val="2"/>
        <w:numId w:val="8"/>
      </w:numPr>
      <w:spacing w:before="50" w:beforeLines="50" w:after="50" w:afterLines="50"/>
      <w:ind w:firstLineChars="0"/>
    </w:pPr>
    <w:rPr>
      <w:rFonts w:ascii="黑体" w:eastAsia="黑体"/>
    </w:rPr>
  </w:style>
  <w:style w:type="paragraph" w:customStyle="1" w:styleId="205">
    <w:name w:val="标准文件_引言三级条标题"/>
    <w:basedOn w:val="59"/>
    <w:next w:val="59"/>
    <w:qFormat/>
    <w:uiPriority w:val="0"/>
    <w:pPr>
      <w:numPr>
        <w:ilvl w:val="3"/>
        <w:numId w:val="8"/>
      </w:numPr>
      <w:spacing w:before="50" w:beforeLines="50" w:after="50" w:afterLines="50"/>
      <w:ind w:firstLineChars="0"/>
    </w:pPr>
    <w:rPr>
      <w:rFonts w:ascii="黑体" w:eastAsia="黑体"/>
    </w:rPr>
  </w:style>
  <w:style w:type="paragraph" w:customStyle="1" w:styleId="206">
    <w:name w:val="标准文件_引言四级条标题"/>
    <w:basedOn w:val="59"/>
    <w:next w:val="59"/>
    <w:qFormat/>
    <w:uiPriority w:val="0"/>
    <w:pPr>
      <w:numPr>
        <w:ilvl w:val="4"/>
        <w:numId w:val="8"/>
      </w:numPr>
      <w:spacing w:before="50" w:beforeLines="50" w:after="50" w:afterLines="50"/>
      <w:ind w:firstLineChars="0"/>
    </w:pPr>
    <w:rPr>
      <w:rFonts w:ascii="黑体" w:eastAsia="黑体"/>
    </w:rPr>
  </w:style>
  <w:style w:type="paragraph" w:customStyle="1" w:styleId="207">
    <w:name w:val="标准文件_引言五级条标题"/>
    <w:basedOn w:val="59"/>
    <w:next w:val="59"/>
    <w:qFormat/>
    <w:uiPriority w:val="0"/>
    <w:pPr>
      <w:numPr>
        <w:ilvl w:val="5"/>
        <w:numId w:val="8"/>
      </w:numPr>
      <w:spacing w:before="50" w:beforeLines="50" w:after="50" w:afterLines="50"/>
      <w:ind w:firstLineChars="0"/>
    </w:pPr>
    <w:rPr>
      <w:rFonts w:ascii="黑体" w:eastAsia="黑体"/>
    </w:rPr>
  </w:style>
  <w:style w:type="paragraph" w:customStyle="1" w:styleId="208">
    <w:name w:val="标准文件_注后"/>
    <w:basedOn w:val="59"/>
    <w:qFormat/>
    <w:uiPriority w:val="0"/>
    <w:pPr>
      <w:ind w:left="811" w:firstLine="0" w:firstLineChars="0"/>
    </w:pPr>
    <w:rPr>
      <w:sz w:val="18"/>
    </w:rPr>
  </w:style>
  <w:style w:type="paragraph" w:customStyle="1" w:styleId="209">
    <w:name w:val="标准文件_注X后"/>
    <w:basedOn w:val="59"/>
    <w:qFormat/>
    <w:uiPriority w:val="0"/>
    <w:pPr>
      <w:ind w:left="811" w:firstLine="0" w:firstLineChars="0"/>
    </w:pPr>
    <w:rPr>
      <w:sz w:val="18"/>
    </w:rPr>
  </w:style>
  <w:style w:type="paragraph" w:customStyle="1" w:styleId="210">
    <w:name w:val="标准文件_示例后"/>
    <w:basedOn w:val="59"/>
    <w:qFormat/>
    <w:uiPriority w:val="0"/>
    <w:pPr>
      <w:ind w:left="964" w:firstLine="0" w:firstLineChars="0"/>
    </w:pPr>
    <w:rPr>
      <w:sz w:val="18"/>
    </w:rPr>
  </w:style>
  <w:style w:type="paragraph" w:customStyle="1" w:styleId="211">
    <w:name w:val="标准文件_示例X后"/>
    <w:basedOn w:val="59"/>
    <w:link w:val="212"/>
    <w:qFormat/>
    <w:uiPriority w:val="0"/>
    <w:pPr>
      <w:ind w:left="1049" w:firstLine="0" w:firstLineChars="0"/>
    </w:pPr>
    <w:rPr>
      <w:sz w:val="18"/>
    </w:rPr>
  </w:style>
  <w:style w:type="character" w:customStyle="1" w:styleId="212">
    <w:name w:val="标准文件_示例X后 字符"/>
    <w:basedOn w:val="187"/>
    <w:link w:val="211"/>
    <w:qFormat/>
    <w:uiPriority w:val="0"/>
    <w:rPr>
      <w:rFonts w:ascii="宋体" w:hAnsi="Times New Roman"/>
      <w:sz w:val="18"/>
    </w:rPr>
  </w:style>
  <w:style w:type="paragraph" w:customStyle="1" w:styleId="213">
    <w:name w:val="标准文件_索引项"/>
    <w:basedOn w:val="59"/>
    <w:next w:val="59"/>
    <w:qFormat/>
    <w:uiPriority w:val="0"/>
    <w:pPr>
      <w:tabs>
        <w:tab w:val="right" w:leader="dot" w:pos="9356"/>
      </w:tabs>
      <w:ind w:left="210" w:hanging="210" w:firstLineChars="0"/>
      <w:jc w:val="left"/>
    </w:pPr>
  </w:style>
  <w:style w:type="paragraph" w:customStyle="1" w:styleId="214">
    <w:name w:val="标准文件_附录一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二级无标题"/>
    <w:basedOn w:val="82"/>
    <w:qFormat/>
    <w:uiPriority w:val="0"/>
    <w:pPr>
      <w:spacing w:before="0" w:beforeLines="0" w:after="0" w:afterLines="0" w:line="276" w:lineRule="auto"/>
      <w:outlineLvl w:val="9"/>
    </w:pPr>
    <w:rPr>
      <w:rFonts w:ascii="宋体" w:eastAsia="宋体"/>
    </w:rPr>
  </w:style>
  <w:style w:type="paragraph" w:customStyle="1" w:styleId="216">
    <w:name w:val="标准文件_附录三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四级无标题"/>
    <w:basedOn w:val="85"/>
    <w:qFormat/>
    <w:uiPriority w:val="0"/>
    <w:pPr>
      <w:spacing w:before="0" w:beforeLines="0" w:after="0" w:afterLines="0" w:line="276" w:lineRule="auto"/>
      <w:outlineLvl w:val="9"/>
    </w:pPr>
    <w:rPr>
      <w:rFonts w:ascii="宋体" w:eastAsia="宋体"/>
    </w:rPr>
  </w:style>
  <w:style w:type="paragraph" w:customStyle="1" w:styleId="218">
    <w:name w:val="标准文件_附录五级无标题"/>
    <w:basedOn w:val="87"/>
    <w:qFormat/>
    <w:uiPriority w:val="0"/>
    <w:pPr>
      <w:spacing w:before="0" w:beforeLines="0" w:after="0" w:afterLines="0" w:line="276" w:lineRule="auto"/>
      <w:outlineLvl w:val="9"/>
    </w:pPr>
    <w:rPr>
      <w:rFonts w:ascii="宋体" w:eastAsia="宋体"/>
    </w:rPr>
  </w:style>
  <w:style w:type="paragraph" w:customStyle="1" w:styleId="219">
    <w:name w:val="标准文件_引言一级无标题"/>
    <w:basedOn w:val="203"/>
    <w:next w:val="59"/>
    <w:qFormat/>
    <w:uiPriority w:val="0"/>
    <w:pPr>
      <w:spacing w:before="0" w:beforeLines="0" w:after="0" w:afterLines="0" w:line="276" w:lineRule="auto"/>
    </w:pPr>
    <w:rPr>
      <w:rFonts w:ascii="宋体" w:eastAsia="宋体"/>
    </w:rPr>
  </w:style>
  <w:style w:type="paragraph" w:customStyle="1" w:styleId="220">
    <w:name w:val="标准文件_引言二级无标题"/>
    <w:basedOn w:val="204"/>
    <w:next w:val="59"/>
    <w:qFormat/>
    <w:uiPriority w:val="0"/>
    <w:pPr>
      <w:spacing w:before="0" w:beforeLines="0" w:after="0" w:afterLines="0" w:line="276" w:lineRule="auto"/>
    </w:pPr>
    <w:rPr>
      <w:rFonts w:ascii="宋体" w:eastAsia="宋体"/>
    </w:rPr>
  </w:style>
  <w:style w:type="paragraph" w:customStyle="1" w:styleId="221">
    <w:name w:val="标准文件_引言三级无标题"/>
    <w:basedOn w:val="205"/>
    <w:qFormat/>
    <w:uiPriority w:val="0"/>
    <w:pPr>
      <w:spacing w:before="0" w:beforeLines="0" w:after="0" w:afterLines="0" w:line="276" w:lineRule="auto"/>
    </w:pPr>
    <w:rPr>
      <w:rFonts w:ascii="宋体" w:eastAsia="宋体"/>
    </w:rPr>
  </w:style>
  <w:style w:type="paragraph" w:customStyle="1" w:styleId="222">
    <w:name w:val="标准文件_引言四级无标题"/>
    <w:basedOn w:val="206"/>
    <w:next w:val="59"/>
    <w:qFormat/>
    <w:uiPriority w:val="0"/>
    <w:pPr>
      <w:spacing w:before="0" w:beforeLines="0" w:after="0" w:afterLines="0" w:line="276" w:lineRule="auto"/>
    </w:pPr>
    <w:rPr>
      <w:rFonts w:ascii="宋体" w:eastAsia="宋体"/>
    </w:rPr>
  </w:style>
  <w:style w:type="paragraph" w:customStyle="1" w:styleId="223">
    <w:name w:val="标准文件_引言五级无标题"/>
    <w:basedOn w:val="207"/>
    <w:next w:val="59"/>
    <w:qFormat/>
    <w:uiPriority w:val="0"/>
    <w:pPr>
      <w:spacing w:before="0" w:beforeLines="0" w:after="0" w:afterLines="0" w:line="276" w:lineRule="auto"/>
    </w:pPr>
    <w:rPr>
      <w:rFonts w:ascii="宋体" w:eastAsia="宋体"/>
    </w:rPr>
  </w:style>
  <w:style w:type="paragraph" w:customStyle="1" w:styleId="224">
    <w:name w:val="标准文件_索引标题"/>
    <w:basedOn w:val="66"/>
    <w:next w:val="59"/>
    <w:qFormat/>
    <w:uiPriority w:val="0"/>
    <w:rPr>
      <w:rFonts w:hAnsi="黑体"/>
    </w:rPr>
  </w:style>
  <w:style w:type="paragraph" w:customStyle="1" w:styleId="225">
    <w:name w:val="标准文件_脚注内容"/>
    <w:basedOn w:val="59"/>
    <w:qFormat/>
    <w:uiPriority w:val="0"/>
    <w:pPr>
      <w:ind w:left="400" w:leftChars="200" w:hanging="200" w:hangingChars="200"/>
    </w:pPr>
    <w:rPr>
      <w:sz w:val="15"/>
    </w:rPr>
  </w:style>
  <w:style w:type="paragraph" w:customStyle="1" w:styleId="226">
    <w:name w:val="标准文件_术语条一"/>
    <w:basedOn w:val="165"/>
    <w:next w:val="59"/>
    <w:qFormat/>
    <w:uiPriority w:val="0"/>
  </w:style>
  <w:style w:type="paragraph" w:customStyle="1" w:styleId="227">
    <w:name w:val="标准文件_术语条二"/>
    <w:basedOn w:val="168"/>
    <w:next w:val="59"/>
    <w:qFormat/>
    <w:uiPriority w:val="0"/>
  </w:style>
  <w:style w:type="paragraph" w:customStyle="1" w:styleId="228">
    <w:name w:val="标准文件_术语条三"/>
    <w:basedOn w:val="167"/>
    <w:next w:val="59"/>
    <w:qFormat/>
    <w:uiPriority w:val="0"/>
  </w:style>
  <w:style w:type="paragraph" w:customStyle="1" w:styleId="229">
    <w:name w:val="标准文件_术语条四"/>
    <w:basedOn w:val="170"/>
    <w:next w:val="59"/>
    <w:qFormat/>
    <w:uiPriority w:val="0"/>
  </w:style>
  <w:style w:type="paragraph" w:customStyle="1" w:styleId="230">
    <w:name w:val="标准文件_术语条五"/>
    <w:basedOn w:val="166"/>
    <w:next w:val="59"/>
    <w:qFormat/>
    <w:uiPriority w:val="0"/>
  </w:style>
  <w:style w:type="paragraph" w:customStyle="1" w:styleId="23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2">
    <w:name w:val="发布"/>
    <w:basedOn w:val="30"/>
    <w:qFormat/>
    <w:uiPriority w:val="0"/>
    <w:rPr>
      <w:rFonts w:ascii="黑体" w:eastAsia="黑体"/>
      <w:spacing w:val="85"/>
      <w:w w:val="100"/>
      <w:position w:val="3"/>
      <w:sz w:val="28"/>
      <w:szCs w:val="28"/>
    </w:rPr>
  </w:style>
  <w:style w:type="character" w:customStyle="1" w:styleId="233">
    <w:name w:val="批注文字 字符"/>
    <w:basedOn w:val="30"/>
    <w:link w:val="13"/>
    <w:semiHidden/>
    <w:qFormat/>
    <w:uiPriority w:val="99"/>
    <w:rPr>
      <w:kern w:val="2"/>
      <w:sz w:val="21"/>
      <w:szCs w:val="21"/>
    </w:rPr>
  </w:style>
  <w:style w:type="character" w:customStyle="1" w:styleId="234">
    <w:name w:val="批注主题 字符"/>
    <w:basedOn w:val="233"/>
    <w:link w:val="27"/>
    <w:semiHidden/>
    <w:qFormat/>
    <w:uiPriority w:val="99"/>
    <w:rPr>
      <w:b/>
      <w:bCs/>
      <w:kern w:val="2"/>
      <w:sz w:val="21"/>
      <w:szCs w:val="21"/>
    </w:rPr>
  </w:style>
  <w:style w:type="paragraph" w:customStyle="1" w:styleId="235">
    <w:name w:val="修订1"/>
    <w:hidden/>
    <w:unhideWhenUsed/>
    <w:qFormat/>
    <w:uiPriority w:val="99"/>
    <w:rPr>
      <w:rFonts w:ascii="Calibri" w:hAnsi="Calibri" w:eastAsia="宋体" w:cs="Times New Roman"/>
      <w:kern w:val="2"/>
      <w:sz w:val="21"/>
      <w:szCs w:val="21"/>
      <w:lang w:val="en-US" w:eastAsia="zh-CN" w:bidi="ar-SA"/>
    </w:rPr>
  </w:style>
  <w:style w:type="paragraph" w:customStyle="1" w:styleId="236">
    <w:name w:val="段"/>
    <w:qFormat/>
    <w:uiPriority w:val="99"/>
    <w:pPr>
      <w:tabs>
        <w:tab w:val="center" w:pos="4201"/>
        <w:tab w:val="right" w:leader="dot" w:pos="9298"/>
      </w:tabs>
      <w:autoSpaceDE w:val="0"/>
      <w:autoSpaceDN w:val="0"/>
      <w:ind w:firstLine="420" w:firstLineChars="200"/>
      <w:jc w:val="both"/>
    </w:pPr>
    <w:rPr>
      <w:rFonts w:ascii="宋体" w:hAnsi="Calibri"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1" Type="http://schemas.openxmlformats.org/officeDocument/2006/relationships/glossaryDocument" Target="glossary/document.xml"/><Relationship Id="rId40" Type="http://schemas.openxmlformats.org/officeDocument/2006/relationships/fontTable" Target="fontTable.xml"/><Relationship Id="rId4" Type="http://schemas.openxmlformats.org/officeDocument/2006/relationships/endnotes" Target="endnotes.xml"/><Relationship Id="rId39" Type="http://schemas.openxmlformats.org/officeDocument/2006/relationships/customXml" Target="../customXml/item2.xml"/><Relationship Id="rId38" Type="http://schemas.openxmlformats.org/officeDocument/2006/relationships/numbering" Target="numbering.xml"/><Relationship Id="rId37" Type="http://schemas.openxmlformats.org/officeDocument/2006/relationships/customXml" Target="../customXml/item1.xml"/><Relationship Id="rId36" Type="http://schemas.openxmlformats.org/officeDocument/2006/relationships/image" Target="media/image10.jpeg"/><Relationship Id="rId35" Type="http://schemas.openxmlformats.org/officeDocument/2006/relationships/image" Target="media/image9.wmf"/><Relationship Id="rId34" Type="http://schemas.openxmlformats.org/officeDocument/2006/relationships/oleObject" Target="embeddings/oleObject5.bin"/><Relationship Id="rId33" Type="http://schemas.openxmlformats.org/officeDocument/2006/relationships/image" Target="media/image8.wmf"/><Relationship Id="rId32" Type="http://schemas.openxmlformats.org/officeDocument/2006/relationships/oleObject" Target="embeddings/oleObject4.bin"/><Relationship Id="rId31" Type="http://schemas.openxmlformats.org/officeDocument/2006/relationships/image" Target="media/image7.wmf"/><Relationship Id="rId30" Type="http://schemas.openxmlformats.org/officeDocument/2006/relationships/oleObject" Target="embeddings/oleObject3.bin"/><Relationship Id="rId3" Type="http://schemas.openxmlformats.org/officeDocument/2006/relationships/footnotes" Target="footnotes.xml"/><Relationship Id="rId29" Type="http://schemas.openxmlformats.org/officeDocument/2006/relationships/image" Target="media/image6.png"/><Relationship Id="rId28" Type="http://schemas.openxmlformats.org/officeDocument/2006/relationships/image" Target="media/image5.png"/><Relationship Id="rId27" Type="http://schemas.openxmlformats.org/officeDocument/2006/relationships/image" Target="media/image4.png"/><Relationship Id="rId26" Type="http://schemas.openxmlformats.org/officeDocument/2006/relationships/image" Target="media/image3.emf"/><Relationship Id="rId25" Type="http://schemas.openxmlformats.org/officeDocument/2006/relationships/image" Target="media/image2.wmf"/><Relationship Id="rId24" Type="http://schemas.openxmlformats.org/officeDocument/2006/relationships/oleObject" Target="embeddings/oleObject2.bin"/><Relationship Id="rId23" Type="http://schemas.openxmlformats.org/officeDocument/2006/relationships/image" Target="media/image1.wmf"/><Relationship Id="rId22" Type="http://schemas.openxmlformats.org/officeDocument/2006/relationships/oleObject" Target="embeddings/oleObject1.bin"/><Relationship Id="rId21" Type="http://schemas.openxmlformats.org/officeDocument/2006/relationships/theme" Target="theme/theme1.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footer" Target="footer7.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85A36E8C744414190FD53463E31A48F"/>
        <w:style w:val=""/>
        <w:category>
          <w:name w:val="常规"/>
          <w:gallery w:val="placeholder"/>
        </w:category>
        <w:types>
          <w:type w:val="bbPlcHdr"/>
        </w:types>
        <w:behaviors>
          <w:behavior w:val="content"/>
        </w:behaviors>
        <w:description w:val=""/>
        <w:guid w:val="{38C4C0D9-D6B7-405F-85D4-872585D3F3BE}"/>
      </w:docPartPr>
      <w:docPartBody>
        <w:p w14:paraId="6C5E37CA">
          <w:pPr>
            <w:pStyle w:val="5"/>
            <w:rPr>
              <w:rFonts w:hint="eastAsia"/>
            </w:rPr>
          </w:pPr>
          <w:r>
            <w:rPr>
              <w:rStyle w:val="4"/>
              <w:rFonts w:hint="eastAsia"/>
            </w:rPr>
            <w:t>单击或点击此处输入文字。</w:t>
          </w:r>
        </w:p>
      </w:docPartBody>
    </w:docPart>
    <w:docPart>
      <w:docPartPr>
        <w:name w:val="E977BE3CFCAF4E35B4CE9826D4F3E135"/>
        <w:style w:val=""/>
        <w:category>
          <w:name w:val="常规"/>
          <w:gallery w:val="placeholder"/>
        </w:category>
        <w:types>
          <w:type w:val="bbPlcHdr"/>
        </w:types>
        <w:behaviors>
          <w:behavior w:val="content"/>
        </w:behaviors>
        <w:description w:val=""/>
        <w:guid w:val="{3C57B80B-BA01-44A4-9FB8-A38A48F1B30B}"/>
      </w:docPartPr>
      <w:docPartBody>
        <w:p w14:paraId="37C08DC8">
          <w:pPr>
            <w:pStyle w:val="6"/>
            <w:rPr>
              <w:rFonts w:hint="eastAsia"/>
            </w:rPr>
          </w:pPr>
          <w:r>
            <w:rPr>
              <w:rStyle w:val="4"/>
              <w:rFonts w:hint="eastAsia"/>
            </w:rPr>
            <w:t>选择一项。</w:t>
          </w:r>
        </w:p>
      </w:docPartBody>
    </w:docPart>
    <w:docPart>
      <w:docPartPr>
        <w:name w:val="DFEEBF1960CE4A83A5D8BCF92ECBFE93"/>
        <w:style w:val=""/>
        <w:category>
          <w:name w:val="常规"/>
          <w:gallery w:val="placeholder"/>
        </w:category>
        <w:types>
          <w:type w:val="bbPlcHdr"/>
        </w:types>
        <w:behaviors>
          <w:behavior w:val="content"/>
        </w:behaviors>
        <w:description w:val=""/>
        <w:guid w:val="{E6D0E82C-BCC7-4A11-BB4B-D84776A04AB2}"/>
      </w:docPartPr>
      <w:docPartBody>
        <w:p w14:paraId="677E6C73">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6882"/>
    <w:rsid w:val="0003245A"/>
    <w:rsid w:val="00442227"/>
    <w:rsid w:val="004E753F"/>
    <w:rsid w:val="0064741D"/>
    <w:rsid w:val="00684072"/>
    <w:rsid w:val="007D7294"/>
    <w:rsid w:val="00885AA2"/>
    <w:rsid w:val="008F774A"/>
    <w:rsid w:val="009B27B0"/>
    <w:rsid w:val="009B6882"/>
    <w:rsid w:val="00BA64ED"/>
    <w:rsid w:val="00FA24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085A36E8C744414190FD53463E31A48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E977BE3CFCAF4E35B4CE9826D4F3E13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DFEEBF1960CE4A83A5D8BCF92ECBFE93"/>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B15F1A2-E900-44E9-8665-E5428820A545}">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22</Pages>
  <Words>10369</Words>
  <Characters>12912</Characters>
  <Lines>132</Lines>
  <Paragraphs>37</Paragraphs>
  <TotalTime>0</TotalTime>
  <ScaleCrop>false</ScaleCrop>
  <LinksUpToDate>false</LinksUpToDate>
  <CharactersWithSpaces>13397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2024-10-10T23:17:00Z</dcterms:created>
  <dc:creator>a</dc:creator>
  <dc:description>&lt;config cover="true" show_menu="true" version="1.0.0" doctype="SDKXY"&gt;_x000d_
&lt;/config&gt;</dc:description>
  <cp:lastModifiedBy>KaKin</cp:lastModifiedBy>
  <cp:lastPrinted>2021-02-02T08:22:00Z</cp:lastPrinted>
  <dcterms:modified xsi:type="dcterms:W3CDTF">2024-11-12T07:08:40Z</dcterms:modified>
  <dc:title>团体标准</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2052-12.1.0.18608</vt:lpwstr>
  </property>
  <property fmtid="{D5CDD505-2E9C-101B-9397-08002B2CF9AE}" pid="16" name="ICV">
    <vt:lpwstr>EAC644AADFD141708AA3ECA1A4165FD7_13</vt:lpwstr>
  </property>
</Properties>
</file>